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3" w:rsidRPr="00BF1E7D" w:rsidRDefault="002D7773" w:rsidP="008960F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拍卖</w:t>
      </w:r>
      <w:r w:rsidR="00775280">
        <w:rPr>
          <w:rFonts w:asciiTheme="majorEastAsia" w:eastAsiaTheme="majorEastAsia" w:hAnsiTheme="majorEastAsia" w:hint="eastAsia"/>
          <w:b/>
          <w:sz w:val="44"/>
          <w:szCs w:val="44"/>
        </w:rPr>
        <w:t>行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业</w:t>
      </w:r>
      <w:r w:rsidR="00502DD9">
        <w:rPr>
          <w:rFonts w:asciiTheme="majorEastAsia" w:eastAsiaTheme="majorEastAsia" w:hAnsiTheme="majorEastAsia" w:hint="eastAsia"/>
          <w:b/>
          <w:sz w:val="44"/>
          <w:szCs w:val="44"/>
        </w:rPr>
        <w:t>2021</w:t>
      </w:r>
      <w:r w:rsidRPr="00BF1E7D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上半年经营情况分析</w:t>
      </w:r>
    </w:p>
    <w:p w:rsidR="002D7773" w:rsidRPr="005118BA" w:rsidRDefault="002D7773" w:rsidP="00C7457A">
      <w:pPr>
        <w:pStyle w:val="1"/>
        <w:numPr>
          <w:ilvl w:val="0"/>
          <w:numId w:val="1"/>
        </w:numPr>
        <w:spacing w:beforeLines="150" w:line="480" w:lineRule="auto"/>
        <w:ind w:firstLineChars="0"/>
        <w:rPr>
          <w:rFonts w:ascii="黑体" w:eastAsia="黑体" w:hAnsi="黑体"/>
          <w:sz w:val="32"/>
          <w:szCs w:val="32"/>
        </w:rPr>
      </w:pPr>
      <w:r w:rsidRPr="005118BA">
        <w:rPr>
          <w:rFonts w:ascii="黑体" w:eastAsia="黑体" w:hAnsi="黑体" w:hint="eastAsia"/>
          <w:sz w:val="32"/>
          <w:szCs w:val="32"/>
        </w:rPr>
        <w:t>行业基本情况</w:t>
      </w:r>
    </w:p>
    <w:p w:rsidR="008960FB" w:rsidRDefault="002D7773" w:rsidP="005B066E">
      <w:pPr>
        <w:pStyle w:val="a6"/>
        <w:spacing w:line="420" w:lineRule="atLeas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BF1E7D">
        <w:rPr>
          <w:rFonts w:ascii="仿宋" w:eastAsia="仿宋" w:hAnsi="仿宋" w:hint="eastAsia"/>
          <w:sz w:val="28"/>
          <w:szCs w:val="28"/>
        </w:rPr>
        <w:t>截至</w:t>
      </w:r>
      <w:r w:rsidR="00502DD9">
        <w:rPr>
          <w:rFonts w:ascii="仿宋" w:eastAsia="仿宋" w:hAnsi="仿宋" w:hint="eastAsia"/>
          <w:sz w:val="28"/>
          <w:szCs w:val="28"/>
        </w:rPr>
        <w:t>2021</w:t>
      </w:r>
      <w:r w:rsidRPr="00BF1E7D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6</w:t>
      </w:r>
      <w:r w:rsidRPr="00BF1E7D">
        <w:rPr>
          <w:rFonts w:ascii="仿宋" w:eastAsia="仿宋" w:hAnsi="仿宋" w:hint="eastAsia"/>
          <w:sz w:val="28"/>
          <w:szCs w:val="28"/>
        </w:rPr>
        <w:t>月底，全国31个省（区、市）</w:t>
      </w:r>
      <w:r w:rsidR="00F72428">
        <w:rPr>
          <w:rFonts w:ascii="仿宋" w:eastAsia="仿宋" w:hAnsi="仿宋" w:hint="eastAsia"/>
          <w:sz w:val="28"/>
          <w:szCs w:val="28"/>
        </w:rPr>
        <w:t>及新疆生产建设兵团</w:t>
      </w:r>
      <w:r w:rsidRPr="00BF1E7D">
        <w:rPr>
          <w:rFonts w:ascii="仿宋" w:eastAsia="仿宋" w:hAnsi="仿宋" w:hint="eastAsia"/>
          <w:sz w:val="28"/>
          <w:szCs w:val="28"/>
        </w:rPr>
        <w:t>共有拍卖企业</w:t>
      </w:r>
      <w:r w:rsidR="00502DD9">
        <w:rPr>
          <w:rFonts w:ascii="仿宋" w:eastAsia="仿宋" w:hAnsi="仿宋" w:hint="eastAsia"/>
          <w:sz w:val="28"/>
          <w:szCs w:val="28"/>
        </w:rPr>
        <w:t>8799</w:t>
      </w:r>
      <w:r w:rsidRPr="00BF1E7D">
        <w:rPr>
          <w:rFonts w:ascii="仿宋" w:eastAsia="仿宋" w:hAnsi="仿宋" w:hint="eastAsia"/>
          <w:sz w:val="28"/>
          <w:szCs w:val="28"/>
        </w:rPr>
        <w:t>家，</w:t>
      </w:r>
      <w:r w:rsidR="008960FB" w:rsidRPr="00BF1E7D">
        <w:rPr>
          <w:rFonts w:ascii="仿宋" w:eastAsia="仿宋" w:hAnsi="仿宋" w:hint="eastAsia"/>
          <w:sz w:val="28"/>
          <w:szCs w:val="28"/>
        </w:rPr>
        <w:t>比上年同期增加</w:t>
      </w:r>
      <w:r w:rsidR="00502DD9">
        <w:rPr>
          <w:rFonts w:ascii="仿宋" w:eastAsia="仿宋" w:hAnsi="仿宋" w:hint="eastAsia"/>
          <w:sz w:val="28"/>
          <w:szCs w:val="28"/>
        </w:rPr>
        <w:t>793</w:t>
      </w:r>
      <w:r w:rsidR="008960FB">
        <w:rPr>
          <w:rFonts w:ascii="仿宋" w:eastAsia="仿宋" w:hAnsi="仿宋" w:hint="eastAsia"/>
          <w:sz w:val="28"/>
          <w:szCs w:val="28"/>
        </w:rPr>
        <w:t>家；拍卖</w:t>
      </w:r>
      <w:r>
        <w:rPr>
          <w:rFonts w:ascii="仿宋" w:eastAsia="仿宋" w:hAnsi="仿宋" w:hint="eastAsia"/>
          <w:sz w:val="28"/>
          <w:szCs w:val="28"/>
        </w:rPr>
        <w:t>分支机构</w:t>
      </w:r>
      <w:r w:rsidR="00502DD9">
        <w:rPr>
          <w:rFonts w:ascii="仿宋" w:eastAsia="仿宋" w:hAnsi="仿宋" w:hint="eastAsia"/>
          <w:sz w:val="28"/>
          <w:szCs w:val="28"/>
        </w:rPr>
        <w:t>266</w:t>
      </w:r>
      <w:r w:rsidR="008960FB">
        <w:rPr>
          <w:rFonts w:ascii="仿宋" w:eastAsia="仿宋" w:hAnsi="仿宋" w:hint="eastAsia"/>
          <w:sz w:val="28"/>
          <w:szCs w:val="28"/>
        </w:rPr>
        <w:t>家，</w:t>
      </w:r>
      <w:r>
        <w:rPr>
          <w:rFonts w:ascii="仿宋" w:eastAsia="仿宋" w:hAnsi="仿宋" w:hint="eastAsia"/>
          <w:sz w:val="28"/>
          <w:szCs w:val="28"/>
        </w:rPr>
        <w:t>与去年同期持平；</w:t>
      </w:r>
      <w:r w:rsidR="008960FB" w:rsidRPr="008960FB">
        <w:rPr>
          <w:rFonts w:ascii="仿宋" w:eastAsia="仿宋" w:hAnsi="仿宋" w:hint="eastAsia"/>
          <w:sz w:val="28"/>
          <w:szCs w:val="28"/>
        </w:rPr>
        <w:t>注册执业的拍卖师</w:t>
      </w:r>
      <w:r w:rsidR="00502DD9">
        <w:rPr>
          <w:rFonts w:ascii="仿宋" w:eastAsia="仿宋" w:hAnsi="仿宋" w:hint="eastAsia"/>
          <w:sz w:val="28"/>
          <w:szCs w:val="28"/>
        </w:rPr>
        <w:t xml:space="preserve"> 12029</w:t>
      </w:r>
      <w:r w:rsidR="008960FB" w:rsidRPr="008960FB">
        <w:rPr>
          <w:rFonts w:ascii="仿宋" w:eastAsia="仿宋" w:hAnsi="仿宋" w:hint="eastAsia"/>
          <w:sz w:val="28"/>
          <w:szCs w:val="28"/>
        </w:rPr>
        <w:t xml:space="preserve"> 人</w:t>
      </w:r>
      <w:r w:rsidRPr="00BF1E7D">
        <w:rPr>
          <w:rFonts w:ascii="仿宋" w:eastAsia="仿宋" w:hAnsi="仿宋" w:hint="eastAsia"/>
          <w:sz w:val="28"/>
          <w:szCs w:val="28"/>
        </w:rPr>
        <w:t>，</w:t>
      </w:r>
      <w:r w:rsidRPr="00F412F8">
        <w:rPr>
          <w:rFonts w:ascii="仿宋" w:eastAsia="仿宋" w:hAnsi="仿宋" w:hint="eastAsia"/>
          <w:sz w:val="28"/>
          <w:szCs w:val="28"/>
        </w:rPr>
        <w:t>拍卖行业从业人数（职工总数）</w:t>
      </w:r>
      <w:r w:rsidR="009D706A">
        <w:rPr>
          <w:rFonts w:ascii="仿宋" w:eastAsia="仿宋" w:hAnsi="仿宋" w:hint="eastAsia"/>
          <w:sz w:val="28"/>
          <w:szCs w:val="28"/>
        </w:rPr>
        <w:t>约</w:t>
      </w:r>
      <w:r w:rsidR="005B066E">
        <w:rPr>
          <w:rFonts w:ascii="仿宋" w:eastAsia="仿宋" w:hAnsi="仿宋" w:hint="eastAsia"/>
          <w:sz w:val="28"/>
          <w:szCs w:val="28"/>
        </w:rPr>
        <w:t>有</w:t>
      </w:r>
      <w:r w:rsidR="00502DD9">
        <w:rPr>
          <w:rFonts w:ascii="仿宋" w:eastAsia="仿宋" w:hAnsi="仿宋" w:hint="eastAsia"/>
          <w:sz w:val="28"/>
          <w:szCs w:val="28"/>
        </w:rPr>
        <w:t>689</w:t>
      </w:r>
      <w:r w:rsidR="009D706A">
        <w:rPr>
          <w:rFonts w:ascii="仿宋" w:eastAsia="仿宋" w:hAnsi="仿宋" w:hint="eastAsia"/>
          <w:sz w:val="28"/>
          <w:szCs w:val="28"/>
        </w:rPr>
        <w:t>00</w:t>
      </w:r>
      <w:r w:rsidRPr="00F412F8">
        <w:rPr>
          <w:rFonts w:ascii="仿宋" w:eastAsia="仿宋" w:hAnsi="仿宋" w:hint="eastAsia"/>
          <w:sz w:val="28"/>
          <w:szCs w:val="28"/>
        </w:rPr>
        <w:t>人。</w:t>
      </w:r>
    </w:p>
    <w:p w:rsidR="008960FB" w:rsidRDefault="002D7773" w:rsidP="008960FB">
      <w:pPr>
        <w:pStyle w:val="a6"/>
        <w:spacing w:line="420" w:lineRule="atLeast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 w:rsidRPr="00BF1E7D">
        <w:rPr>
          <w:rFonts w:ascii="仿宋" w:eastAsia="仿宋" w:hAnsi="仿宋" w:hint="eastAsia"/>
          <w:sz w:val="28"/>
          <w:szCs w:val="28"/>
        </w:rPr>
        <w:t>据</w:t>
      </w:r>
      <w:r>
        <w:rPr>
          <w:rFonts w:ascii="仿宋" w:eastAsia="仿宋" w:hAnsi="仿宋" w:hint="eastAsia"/>
          <w:sz w:val="28"/>
          <w:szCs w:val="28"/>
        </w:rPr>
        <w:t>商务部</w:t>
      </w:r>
      <w:r w:rsidRPr="00BF1E7D">
        <w:rPr>
          <w:rFonts w:ascii="仿宋" w:eastAsia="仿宋" w:hAnsi="仿宋" w:hint="eastAsia"/>
          <w:sz w:val="28"/>
          <w:szCs w:val="28"/>
        </w:rPr>
        <w:t>“全国拍卖</w:t>
      </w:r>
      <w:r>
        <w:rPr>
          <w:rFonts w:ascii="仿宋" w:eastAsia="仿宋" w:hAnsi="仿宋" w:hint="eastAsia"/>
          <w:sz w:val="28"/>
          <w:szCs w:val="28"/>
        </w:rPr>
        <w:t>统一业务平台</w:t>
      </w:r>
      <w:r w:rsidRPr="00BF1E7D">
        <w:rPr>
          <w:rFonts w:ascii="仿宋" w:eastAsia="仿宋" w:hAnsi="仿宋" w:hint="eastAsia"/>
          <w:sz w:val="28"/>
          <w:szCs w:val="28"/>
        </w:rPr>
        <w:t>”统计，</w:t>
      </w:r>
      <w:r>
        <w:rPr>
          <w:rFonts w:ascii="仿宋" w:eastAsia="仿宋" w:hAnsi="仿宋" w:hint="eastAsia"/>
          <w:sz w:val="28"/>
          <w:szCs w:val="28"/>
        </w:rPr>
        <w:t>上半年</w:t>
      </w:r>
      <w:r w:rsidR="008960FB">
        <w:rPr>
          <w:rFonts w:ascii="仿宋" w:eastAsia="仿宋" w:hAnsi="仿宋" w:hint="eastAsia"/>
          <w:sz w:val="28"/>
          <w:szCs w:val="28"/>
        </w:rPr>
        <w:t>1-6月份，</w:t>
      </w:r>
      <w:r>
        <w:rPr>
          <w:rFonts w:ascii="仿宋" w:eastAsia="仿宋" w:hAnsi="仿宋" w:hint="eastAsia"/>
          <w:sz w:val="28"/>
          <w:szCs w:val="28"/>
        </w:rPr>
        <w:t>拍卖总成交额</w:t>
      </w:r>
      <w:r w:rsidR="00502DD9">
        <w:rPr>
          <w:rFonts w:ascii="仿宋" w:eastAsia="仿宋" w:hAnsi="仿宋" w:hint="eastAsia"/>
          <w:sz w:val="28"/>
          <w:szCs w:val="28"/>
        </w:rPr>
        <w:t>3577.23亿元，同比增长</w:t>
      </w:r>
      <w:r w:rsidR="002972AC">
        <w:rPr>
          <w:rFonts w:ascii="仿宋" w:eastAsia="仿宋" w:hAnsi="仿宋" w:hint="eastAsia"/>
          <w:sz w:val="28"/>
          <w:szCs w:val="28"/>
        </w:rPr>
        <w:t>2</w:t>
      </w:r>
      <w:r w:rsidR="00502DD9">
        <w:rPr>
          <w:rFonts w:ascii="仿宋" w:eastAsia="仿宋" w:hAnsi="仿宋" w:hint="eastAsia"/>
          <w:sz w:val="28"/>
          <w:szCs w:val="28"/>
        </w:rPr>
        <w:t>3.48</w:t>
      </w:r>
      <w:r>
        <w:rPr>
          <w:rFonts w:ascii="仿宋" w:eastAsia="仿宋" w:hAnsi="仿宋" w:hint="eastAsia"/>
          <w:sz w:val="28"/>
          <w:szCs w:val="28"/>
        </w:rPr>
        <w:t>%（见图1）。</w:t>
      </w:r>
      <w:r w:rsidR="00502DD9">
        <w:rPr>
          <w:rFonts w:ascii="仿宋" w:eastAsia="仿宋" w:hAnsi="仿宋" w:hint="eastAsia"/>
          <w:sz w:val="28"/>
          <w:szCs w:val="28"/>
        </w:rPr>
        <w:t>今年</w:t>
      </w:r>
      <w:r w:rsidR="008960FB">
        <w:rPr>
          <w:rFonts w:ascii="仿宋" w:eastAsia="仿宋" w:hAnsi="仿宋" w:hint="eastAsia"/>
          <w:sz w:val="28"/>
          <w:szCs w:val="28"/>
        </w:rPr>
        <w:t>上半年，</w:t>
      </w:r>
      <w:r w:rsidR="00502DD9" w:rsidRPr="008960FB">
        <w:rPr>
          <w:rFonts w:ascii="仿宋" w:eastAsia="仿宋" w:hAnsi="仿宋" w:hint="eastAsia"/>
          <w:sz w:val="28"/>
          <w:szCs w:val="28"/>
        </w:rPr>
        <w:t>全国各地拍卖活动</w:t>
      </w:r>
      <w:r w:rsidR="00502DD9">
        <w:rPr>
          <w:rFonts w:ascii="仿宋" w:eastAsia="仿宋" w:hAnsi="仿宋" w:hint="eastAsia"/>
          <w:sz w:val="28"/>
          <w:szCs w:val="28"/>
        </w:rPr>
        <w:t>异常活跃，全行业彻底恢复和超过了</w:t>
      </w:r>
      <w:proofErr w:type="gramStart"/>
      <w:r w:rsidR="008960FB" w:rsidRPr="008960FB">
        <w:rPr>
          <w:rFonts w:ascii="仿宋" w:eastAsia="仿宋" w:hAnsi="仿宋" w:hint="eastAsia"/>
          <w:sz w:val="28"/>
          <w:szCs w:val="28"/>
        </w:rPr>
        <w:t>疫</w:t>
      </w:r>
      <w:proofErr w:type="gramEnd"/>
      <w:r w:rsidR="00502DD9">
        <w:rPr>
          <w:rFonts w:ascii="仿宋" w:eastAsia="仿宋" w:hAnsi="仿宋" w:hint="eastAsia"/>
          <w:sz w:val="28"/>
          <w:szCs w:val="28"/>
        </w:rPr>
        <w:t>前的经营水平</w:t>
      </w:r>
      <w:r w:rsidR="00775280">
        <w:rPr>
          <w:rFonts w:ascii="仿宋" w:eastAsia="仿宋" w:hAnsi="仿宋" w:hint="eastAsia"/>
          <w:sz w:val="28"/>
          <w:szCs w:val="28"/>
        </w:rPr>
        <w:t>，</w:t>
      </w:r>
      <w:r w:rsidR="00010617">
        <w:rPr>
          <w:rFonts w:ascii="仿宋" w:eastAsia="仿宋" w:hAnsi="仿宋" w:hint="eastAsia"/>
          <w:sz w:val="28"/>
          <w:szCs w:val="28"/>
        </w:rPr>
        <w:t>各项经营指标均出现较大幅度增长。</w:t>
      </w:r>
      <w:r w:rsidR="00502DD9">
        <w:rPr>
          <w:rFonts w:ascii="仿宋" w:eastAsia="仿宋" w:hAnsi="仿宋" w:hint="eastAsia"/>
          <w:sz w:val="28"/>
          <w:szCs w:val="28"/>
        </w:rPr>
        <w:t>成交额较2019年上半年增长</w:t>
      </w:r>
      <w:r w:rsidR="00010617">
        <w:rPr>
          <w:rFonts w:ascii="仿宋" w:eastAsia="仿宋" w:hAnsi="仿宋" w:hint="eastAsia"/>
          <w:sz w:val="28"/>
          <w:szCs w:val="28"/>
        </w:rPr>
        <w:t>24.37</w:t>
      </w:r>
      <w:r w:rsidR="00502DD9">
        <w:rPr>
          <w:rFonts w:ascii="仿宋" w:eastAsia="仿宋" w:hAnsi="仿宋" w:hint="eastAsia"/>
          <w:sz w:val="28"/>
          <w:szCs w:val="28"/>
        </w:rPr>
        <w:t>%</w:t>
      </w:r>
      <w:r w:rsidR="008960FB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其中，一季度，成交额</w:t>
      </w:r>
      <w:r w:rsidR="00971663">
        <w:rPr>
          <w:rFonts w:ascii="仿宋" w:eastAsia="仿宋" w:hAnsi="仿宋" w:hint="eastAsia"/>
          <w:sz w:val="28"/>
          <w:szCs w:val="28"/>
        </w:rPr>
        <w:t>1530.08</w:t>
      </w:r>
      <w:r w:rsidR="00502DD9">
        <w:rPr>
          <w:rFonts w:ascii="仿宋" w:eastAsia="仿宋" w:hAnsi="仿宋" w:hint="eastAsia"/>
          <w:sz w:val="28"/>
          <w:szCs w:val="28"/>
        </w:rPr>
        <w:t>亿元，同比增长</w:t>
      </w:r>
      <w:r w:rsidR="00971663">
        <w:rPr>
          <w:rFonts w:ascii="仿宋" w:eastAsia="仿宋" w:hAnsi="仿宋" w:hint="eastAsia"/>
          <w:sz w:val="28"/>
          <w:szCs w:val="28"/>
        </w:rPr>
        <w:t>69.92</w:t>
      </w:r>
      <w:r>
        <w:rPr>
          <w:rFonts w:ascii="仿宋" w:eastAsia="仿宋" w:hAnsi="仿宋" w:hint="eastAsia"/>
          <w:sz w:val="28"/>
          <w:szCs w:val="28"/>
        </w:rPr>
        <w:t>%</w:t>
      </w:r>
      <w:r w:rsidR="00DB00F8">
        <w:rPr>
          <w:rFonts w:ascii="仿宋" w:eastAsia="仿宋" w:hAnsi="仿宋" w:hint="eastAsia"/>
          <w:sz w:val="28"/>
          <w:szCs w:val="28"/>
        </w:rPr>
        <w:t>，</w:t>
      </w:r>
      <w:r w:rsidR="00502DD9">
        <w:rPr>
          <w:rFonts w:ascii="仿宋" w:eastAsia="仿宋" w:hAnsi="仿宋" w:hint="eastAsia"/>
          <w:sz w:val="28"/>
          <w:szCs w:val="28"/>
        </w:rPr>
        <w:t>较2019年</w:t>
      </w:r>
      <w:r w:rsidR="00C7457A">
        <w:rPr>
          <w:rFonts w:ascii="仿宋" w:eastAsia="仿宋" w:hAnsi="仿宋" w:hint="eastAsia"/>
          <w:sz w:val="28"/>
          <w:szCs w:val="28"/>
        </w:rPr>
        <w:t>同期</w:t>
      </w:r>
      <w:r w:rsidR="00502DD9">
        <w:rPr>
          <w:rFonts w:ascii="仿宋" w:eastAsia="仿宋" w:hAnsi="仿宋" w:hint="eastAsia"/>
          <w:sz w:val="28"/>
          <w:szCs w:val="28"/>
        </w:rPr>
        <w:t>增长</w:t>
      </w:r>
      <w:r w:rsidR="00971663">
        <w:rPr>
          <w:rFonts w:ascii="仿宋" w:eastAsia="仿宋" w:hAnsi="仿宋" w:hint="eastAsia"/>
          <w:sz w:val="28"/>
          <w:szCs w:val="28"/>
        </w:rPr>
        <w:t>34.12</w:t>
      </w:r>
      <w:r w:rsidR="00DB00F8"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；</w:t>
      </w:r>
      <w:r w:rsidR="008960FB" w:rsidRPr="008960FB">
        <w:rPr>
          <w:rFonts w:ascii="仿宋" w:eastAsia="仿宋" w:hAnsi="仿宋" w:hint="eastAsia"/>
          <w:sz w:val="28"/>
          <w:szCs w:val="28"/>
        </w:rPr>
        <w:t>二季度成交额</w:t>
      </w:r>
      <w:r w:rsidR="00971663">
        <w:rPr>
          <w:rFonts w:ascii="仿宋" w:eastAsia="仿宋" w:hAnsi="仿宋" w:hint="eastAsia"/>
          <w:sz w:val="28"/>
          <w:szCs w:val="28"/>
        </w:rPr>
        <w:t>2047.15</w:t>
      </w:r>
      <w:r w:rsidR="00502DD9">
        <w:rPr>
          <w:rFonts w:ascii="仿宋" w:eastAsia="仿宋" w:hAnsi="仿宋" w:hint="eastAsia"/>
          <w:sz w:val="28"/>
          <w:szCs w:val="28"/>
        </w:rPr>
        <w:t>亿元，同比增长</w:t>
      </w:r>
      <w:r w:rsidR="00971663">
        <w:rPr>
          <w:rFonts w:ascii="仿宋" w:eastAsia="仿宋" w:hAnsi="仿宋" w:hint="eastAsia"/>
          <w:sz w:val="28"/>
          <w:szCs w:val="28"/>
        </w:rPr>
        <w:t>2.54</w:t>
      </w:r>
      <w:r w:rsidR="00502DD9">
        <w:rPr>
          <w:rFonts w:ascii="仿宋" w:eastAsia="仿宋" w:hAnsi="仿宋" w:hint="eastAsia"/>
          <w:sz w:val="28"/>
          <w:szCs w:val="28"/>
        </w:rPr>
        <w:t>%，较2019年</w:t>
      </w:r>
      <w:r w:rsidR="00C7457A">
        <w:rPr>
          <w:rFonts w:ascii="仿宋" w:eastAsia="仿宋" w:hAnsi="仿宋" w:hint="eastAsia"/>
          <w:sz w:val="28"/>
          <w:szCs w:val="28"/>
        </w:rPr>
        <w:t>同期</w:t>
      </w:r>
      <w:r w:rsidR="00502DD9">
        <w:rPr>
          <w:rFonts w:ascii="仿宋" w:eastAsia="仿宋" w:hAnsi="仿宋" w:hint="eastAsia"/>
          <w:sz w:val="28"/>
          <w:szCs w:val="28"/>
        </w:rPr>
        <w:t>增长</w:t>
      </w:r>
      <w:r w:rsidR="00971663">
        <w:rPr>
          <w:rFonts w:ascii="仿宋" w:eastAsia="仿宋" w:hAnsi="仿宋" w:hint="eastAsia"/>
          <w:sz w:val="28"/>
          <w:szCs w:val="28"/>
        </w:rPr>
        <w:t>17.97</w:t>
      </w:r>
      <w:r w:rsidR="00502DD9">
        <w:rPr>
          <w:rFonts w:ascii="仿宋" w:eastAsia="仿宋" w:hAnsi="仿宋" w:hint="eastAsia"/>
          <w:sz w:val="28"/>
          <w:szCs w:val="28"/>
        </w:rPr>
        <w:t>%</w:t>
      </w:r>
      <w:r w:rsidR="008960FB" w:rsidRPr="008960FB">
        <w:rPr>
          <w:rFonts w:ascii="仿宋" w:eastAsia="仿宋" w:hAnsi="仿宋" w:hint="eastAsia"/>
          <w:sz w:val="28"/>
          <w:szCs w:val="28"/>
        </w:rPr>
        <w:t>。</w:t>
      </w:r>
    </w:p>
    <w:p w:rsidR="008960FB" w:rsidRPr="008960FB" w:rsidRDefault="008960FB" w:rsidP="008960FB">
      <w:pPr>
        <w:pStyle w:val="a6"/>
        <w:spacing w:line="420" w:lineRule="atLeast"/>
        <w:contextualSpacing/>
        <w:jc w:val="center"/>
        <w:rPr>
          <w:rFonts w:ascii="仿宋" w:eastAsia="仿宋" w:hAnsi="仿宋"/>
          <w:sz w:val="28"/>
          <w:szCs w:val="28"/>
        </w:rPr>
      </w:pPr>
      <w:r w:rsidRPr="00956F84">
        <w:rPr>
          <w:rFonts w:ascii="黑体" w:eastAsia="黑体" w:hAnsi="黑体" w:hint="eastAsia"/>
        </w:rPr>
        <w:t xml:space="preserve">图1 </w:t>
      </w:r>
      <w:r>
        <w:rPr>
          <w:rFonts w:ascii="黑体" w:eastAsia="黑体" w:hAnsi="黑体" w:hint="eastAsia"/>
        </w:rPr>
        <w:t xml:space="preserve">  </w:t>
      </w:r>
      <w:r w:rsidRPr="00956F84">
        <w:rPr>
          <w:rFonts w:ascii="黑体" w:eastAsia="黑体" w:hAnsi="黑体" w:hint="eastAsia"/>
        </w:rPr>
        <w:t xml:space="preserve"> </w:t>
      </w:r>
      <w:r w:rsidR="00502DD9">
        <w:rPr>
          <w:rFonts w:ascii="黑体" w:eastAsia="黑体" w:hAnsi="黑体" w:hint="eastAsia"/>
        </w:rPr>
        <w:t>2015-2021</w:t>
      </w:r>
      <w:r w:rsidRPr="00956F84">
        <w:rPr>
          <w:rFonts w:ascii="黑体" w:eastAsia="黑体" w:hAnsi="黑体" w:hint="eastAsia"/>
        </w:rPr>
        <w:t>年 上半年</w:t>
      </w:r>
      <w:r w:rsidR="00C7457A">
        <w:rPr>
          <w:rFonts w:ascii="黑体" w:eastAsia="黑体" w:hAnsi="黑体" w:hint="eastAsia"/>
        </w:rPr>
        <w:t>1-6月份</w:t>
      </w:r>
      <w:r w:rsidRPr="00956F84">
        <w:rPr>
          <w:rFonts w:ascii="黑体" w:eastAsia="黑体" w:hAnsi="黑体" w:hint="eastAsia"/>
        </w:rPr>
        <w:t xml:space="preserve">拍卖成交额    </w:t>
      </w:r>
      <w:r>
        <w:rPr>
          <w:rFonts w:ascii="黑体" w:eastAsia="黑体" w:hAnsi="黑体" w:hint="eastAsia"/>
        </w:rPr>
        <w:t>（</w:t>
      </w:r>
      <w:r w:rsidRPr="00956F84">
        <w:rPr>
          <w:rFonts w:ascii="黑体" w:eastAsia="黑体" w:hAnsi="黑体" w:hint="eastAsia"/>
        </w:rPr>
        <w:t>单位：亿元</w:t>
      </w:r>
      <w:r>
        <w:rPr>
          <w:rFonts w:ascii="黑体" w:eastAsia="黑体" w:hAnsi="黑体" w:hint="eastAsia"/>
        </w:rPr>
        <w:t>）</w:t>
      </w:r>
    </w:p>
    <w:p w:rsidR="00BB4044" w:rsidRPr="000D542F" w:rsidRDefault="00682292" w:rsidP="008960FB">
      <w:pPr>
        <w:pStyle w:val="1"/>
        <w:ind w:firstLineChars="0" w:firstLine="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w:lastRenderedPageBreak/>
        <w:drawing>
          <wp:inline distT="0" distB="0" distL="0" distR="0">
            <wp:extent cx="5274310" cy="3076575"/>
            <wp:effectExtent l="19050" t="0" r="2159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5280" w:rsidRDefault="00145554" w:rsidP="00C7457A">
      <w:pPr>
        <w:pStyle w:val="1"/>
        <w:spacing w:beforeLines="100" w:afterLines="50" w:line="240" w:lineRule="atLeast"/>
        <w:ind w:firstLine="560"/>
        <w:contextualSpacing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总体</w:t>
      </w:r>
      <w:r w:rsidR="008960FB" w:rsidRPr="00B20DA4">
        <w:rPr>
          <w:rFonts w:ascii="仿宋" w:eastAsia="仿宋" w:hAnsi="仿宋" w:cs="宋体" w:hint="eastAsia"/>
          <w:kern w:val="0"/>
          <w:sz w:val="28"/>
          <w:szCs w:val="28"/>
        </w:rPr>
        <w:t>来</w:t>
      </w:r>
      <w:r w:rsidR="00775280" w:rsidRPr="00B20DA4">
        <w:rPr>
          <w:rFonts w:ascii="仿宋" w:eastAsia="仿宋" w:hAnsi="仿宋" w:cs="宋体" w:hint="eastAsia"/>
          <w:kern w:val="0"/>
          <w:sz w:val="28"/>
          <w:szCs w:val="28"/>
        </w:rPr>
        <w:t>看</w:t>
      </w:r>
      <w:r w:rsidR="008960FB" w:rsidRPr="00B20DA4">
        <w:rPr>
          <w:rFonts w:ascii="仿宋" w:eastAsia="仿宋" w:hAnsi="仿宋" w:cs="宋体" w:hint="eastAsia"/>
          <w:kern w:val="0"/>
          <w:sz w:val="28"/>
          <w:szCs w:val="28"/>
        </w:rPr>
        <w:t>，全行业</w:t>
      </w:r>
      <w:r>
        <w:rPr>
          <w:rFonts w:ascii="仿宋" w:eastAsia="仿宋" w:hAnsi="仿宋" w:cs="宋体" w:hint="eastAsia"/>
          <w:kern w:val="0"/>
          <w:sz w:val="28"/>
          <w:szCs w:val="28"/>
        </w:rPr>
        <w:t>一季度、二季度成交额较去年同期持续反弹，但由于</w:t>
      </w:r>
      <w:r w:rsidR="00B07F5D">
        <w:rPr>
          <w:rFonts w:ascii="仿宋" w:eastAsia="仿宋" w:hAnsi="仿宋" w:cs="宋体" w:hint="eastAsia"/>
          <w:kern w:val="0"/>
          <w:sz w:val="28"/>
          <w:szCs w:val="28"/>
        </w:rPr>
        <w:t>一季度</w:t>
      </w:r>
      <w:r>
        <w:rPr>
          <w:rFonts w:ascii="仿宋" w:eastAsia="仿宋" w:hAnsi="仿宋" w:cs="宋体" w:hint="eastAsia"/>
          <w:kern w:val="0"/>
          <w:sz w:val="28"/>
          <w:szCs w:val="28"/>
        </w:rPr>
        <w:t>基数较大以及增长因素在前期的大量释放，</w:t>
      </w:r>
      <w:r w:rsidRPr="00B07F5D">
        <w:rPr>
          <w:rFonts w:ascii="仿宋" w:eastAsia="仿宋" w:hAnsi="仿宋"/>
          <w:noProof/>
          <w:sz w:val="28"/>
          <w:szCs w:val="28"/>
        </w:rPr>
        <w:t>使得</w:t>
      </w:r>
      <w:r>
        <w:rPr>
          <w:rFonts w:ascii="仿宋" w:eastAsia="仿宋" w:hAnsi="仿宋" w:cs="宋体" w:hint="eastAsia"/>
          <w:kern w:val="0"/>
          <w:sz w:val="28"/>
          <w:szCs w:val="28"/>
        </w:rPr>
        <w:t>二季度成交额增幅明显回落；与2019年同期（疫情前）相比，今年一</w:t>
      </w:r>
      <w:r w:rsidR="00B07F5D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二季度成交额均呈现增长趋势，</w:t>
      </w:r>
      <w:r w:rsidR="00B07F5D">
        <w:rPr>
          <w:rFonts w:ascii="仿宋" w:eastAsia="仿宋" w:hAnsi="仿宋" w:cs="宋体" w:hint="eastAsia"/>
          <w:kern w:val="0"/>
          <w:sz w:val="28"/>
          <w:szCs w:val="28"/>
        </w:rPr>
        <w:t>基本判定</w:t>
      </w:r>
      <w:r>
        <w:rPr>
          <w:rFonts w:ascii="仿宋" w:eastAsia="仿宋" w:hAnsi="仿宋" w:cs="宋体" w:hint="eastAsia"/>
          <w:kern w:val="0"/>
          <w:sz w:val="28"/>
          <w:szCs w:val="28"/>
        </w:rPr>
        <w:t>行业经营已经恢复和超越了疫情前同期</w:t>
      </w:r>
      <w:r w:rsidR="008960FB" w:rsidRPr="00B20DA4">
        <w:rPr>
          <w:rFonts w:ascii="仿宋" w:eastAsia="仿宋" w:hAnsi="仿宋" w:cs="宋体" w:hint="eastAsia"/>
          <w:kern w:val="0"/>
          <w:sz w:val="28"/>
          <w:szCs w:val="28"/>
        </w:rPr>
        <w:t>水平</w:t>
      </w:r>
      <w:r w:rsidR="000103DF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775280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</w:p>
    <w:p w:rsidR="00B20DA4" w:rsidRDefault="00173E59" w:rsidP="00C7457A">
      <w:pPr>
        <w:pStyle w:val="1"/>
        <w:spacing w:beforeLines="100" w:afterLines="50" w:line="240" w:lineRule="atLeast"/>
        <w:ind w:firstLine="560"/>
        <w:contextualSpacing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此外，上半年</w:t>
      </w:r>
      <w:r w:rsidR="008960FB" w:rsidRPr="00B20DA4">
        <w:rPr>
          <w:rFonts w:ascii="仿宋" w:eastAsia="仿宋" w:hAnsi="仿宋" w:cs="宋体" w:hint="eastAsia"/>
          <w:kern w:val="0"/>
          <w:sz w:val="28"/>
          <w:szCs w:val="28"/>
        </w:rPr>
        <w:t>网络拍卖</w:t>
      </w:r>
      <w:r w:rsidR="00B07F5D">
        <w:rPr>
          <w:rFonts w:ascii="仿宋" w:eastAsia="仿宋" w:hAnsi="仿宋" w:cs="宋体" w:hint="eastAsia"/>
          <w:kern w:val="0"/>
          <w:sz w:val="28"/>
          <w:szCs w:val="28"/>
        </w:rPr>
        <w:t>的持续走强</w:t>
      </w:r>
      <w:r w:rsidR="008960FB" w:rsidRPr="00B20DA4">
        <w:rPr>
          <w:rFonts w:ascii="仿宋" w:eastAsia="仿宋" w:hAnsi="仿宋" w:cs="宋体" w:hint="eastAsia"/>
          <w:kern w:val="0"/>
          <w:sz w:val="28"/>
          <w:szCs w:val="28"/>
        </w:rPr>
        <w:t>带动</w:t>
      </w:r>
      <w:r w:rsidR="00B07F5D">
        <w:rPr>
          <w:rFonts w:ascii="仿宋" w:eastAsia="仿宋" w:hAnsi="仿宋" w:cs="宋体" w:hint="eastAsia"/>
          <w:kern w:val="0"/>
          <w:sz w:val="28"/>
          <w:szCs w:val="28"/>
        </w:rPr>
        <w:t>了</w:t>
      </w:r>
      <w:r w:rsidR="008960FB" w:rsidRPr="00B20DA4">
        <w:rPr>
          <w:rFonts w:ascii="仿宋" w:eastAsia="仿宋" w:hAnsi="仿宋" w:cs="宋体" w:hint="eastAsia"/>
          <w:kern w:val="0"/>
          <w:sz w:val="28"/>
          <w:szCs w:val="28"/>
        </w:rPr>
        <w:t>拍卖</w:t>
      </w:r>
      <w:r w:rsidR="00145554">
        <w:rPr>
          <w:rFonts w:ascii="仿宋" w:eastAsia="仿宋" w:hAnsi="仿宋" w:cs="宋体" w:hint="eastAsia"/>
          <w:kern w:val="0"/>
          <w:sz w:val="28"/>
          <w:szCs w:val="28"/>
        </w:rPr>
        <w:t>成交</w:t>
      </w:r>
      <w:r w:rsidR="008960FB" w:rsidRPr="00B20DA4">
        <w:rPr>
          <w:rFonts w:ascii="仿宋" w:eastAsia="仿宋" w:hAnsi="仿宋" w:cs="宋体" w:hint="eastAsia"/>
          <w:kern w:val="0"/>
          <w:sz w:val="28"/>
          <w:szCs w:val="28"/>
        </w:rPr>
        <w:t>场次</w:t>
      </w:r>
      <w:r w:rsidR="00145554">
        <w:rPr>
          <w:rFonts w:ascii="仿宋" w:eastAsia="仿宋" w:hAnsi="仿宋" w:cs="宋体" w:hint="eastAsia"/>
          <w:kern w:val="0"/>
          <w:sz w:val="28"/>
          <w:szCs w:val="28"/>
        </w:rPr>
        <w:t>大幅增长</w:t>
      </w:r>
      <w:r w:rsidR="008960FB" w:rsidRPr="00B20DA4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775280">
        <w:rPr>
          <w:rFonts w:ascii="仿宋" w:eastAsia="仿宋" w:hAnsi="仿宋" w:cs="宋体" w:hint="eastAsia"/>
          <w:kern w:val="0"/>
          <w:sz w:val="28"/>
          <w:szCs w:val="28"/>
        </w:rPr>
        <w:t>共计</w:t>
      </w:r>
      <w:r w:rsidR="008960FB" w:rsidRPr="00B20DA4">
        <w:rPr>
          <w:rFonts w:ascii="仿宋" w:eastAsia="仿宋" w:hAnsi="仿宋" w:cs="宋体" w:hint="eastAsia"/>
          <w:kern w:val="0"/>
          <w:sz w:val="28"/>
          <w:szCs w:val="28"/>
        </w:rPr>
        <w:t>成交</w:t>
      </w:r>
      <w:r w:rsidR="00145554">
        <w:rPr>
          <w:rFonts w:ascii="仿宋" w:eastAsia="仿宋" w:hAnsi="仿宋" w:cs="宋体" w:hint="eastAsia"/>
          <w:kern w:val="0"/>
          <w:sz w:val="28"/>
          <w:szCs w:val="28"/>
        </w:rPr>
        <w:t>50486</w:t>
      </w:r>
      <w:r w:rsidR="008960FB" w:rsidRPr="00B20DA4">
        <w:rPr>
          <w:rFonts w:ascii="仿宋" w:eastAsia="仿宋" w:hAnsi="仿宋" w:cs="宋体" w:hint="eastAsia"/>
          <w:kern w:val="0"/>
          <w:sz w:val="28"/>
          <w:szCs w:val="28"/>
        </w:rPr>
        <w:t>场，同比去年</w:t>
      </w:r>
      <w:r w:rsidR="00145554">
        <w:rPr>
          <w:rFonts w:ascii="仿宋" w:eastAsia="仿宋" w:hAnsi="仿宋" w:cs="宋体" w:hint="eastAsia"/>
          <w:kern w:val="0"/>
          <w:sz w:val="28"/>
          <w:szCs w:val="28"/>
        </w:rPr>
        <w:t>增加8693场，</w:t>
      </w:r>
      <w:r w:rsidR="008960FB" w:rsidRPr="00B20DA4">
        <w:rPr>
          <w:rFonts w:ascii="仿宋" w:eastAsia="仿宋" w:hAnsi="仿宋" w:cs="宋体" w:hint="eastAsia"/>
          <w:kern w:val="0"/>
          <w:sz w:val="28"/>
          <w:szCs w:val="28"/>
        </w:rPr>
        <w:t>增</w:t>
      </w:r>
      <w:r w:rsidR="00C7457A">
        <w:rPr>
          <w:rFonts w:ascii="仿宋" w:eastAsia="仿宋" w:hAnsi="仿宋" w:cs="宋体" w:hint="eastAsia"/>
          <w:kern w:val="0"/>
          <w:sz w:val="28"/>
          <w:szCs w:val="28"/>
        </w:rPr>
        <w:t>幅</w:t>
      </w:r>
      <w:r w:rsidR="00145554">
        <w:rPr>
          <w:rFonts w:ascii="仿宋" w:eastAsia="仿宋" w:hAnsi="仿宋" w:cs="宋体" w:hint="eastAsia"/>
          <w:kern w:val="0"/>
          <w:sz w:val="28"/>
          <w:szCs w:val="28"/>
        </w:rPr>
        <w:t>20.8</w:t>
      </w:r>
      <w:r w:rsidR="008960FB" w:rsidRPr="00B20DA4">
        <w:rPr>
          <w:rFonts w:ascii="仿宋" w:eastAsia="仿宋" w:hAnsi="仿宋" w:cs="宋体" w:hint="eastAsia"/>
          <w:kern w:val="0"/>
          <w:sz w:val="28"/>
          <w:szCs w:val="28"/>
        </w:rPr>
        <w:t>%</w:t>
      </w:r>
      <w:r w:rsidR="00010617">
        <w:rPr>
          <w:rFonts w:ascii="仿宋" w:eastAsia="仿宋" w:hAnsi="仿宋" w:cs="宋体" w:hint="eastAsia"/>
          <w:kern w:val="0"/>
          <w:sz w:val="28"/>
          <w:szCs w:val="28"/>
        </w:rPr>
        <w:t>，较2019年上半年增长</w:t>
      </w:r>
      <w:r w:rsidR="00C7457A">
        <w:rPr>
          <w:rFonts w:ascii="仿宋" w:eastAsia="仿宋" w:hAnsi="仿宋" w:cs="宋体" w:hint="eastAsia"/>
          <w:kern w:val="0"/>
          <w:sz w:val="28"/>
          <w:szCs w:val="28"/>
        </w:rPr>
        <w:t>了</w:t>
      </w:r>
      <w:r w:rsidR="00010617">
        <w:rPr>
          <w:rFonts w:ascii="仿宋" w:eastAsia="仿宋" w:hAnsi="仿宋" w:cs="宋体" w:hint="eastAsia"/>
          <w:kern w:val="0"/>
          <w:sz w:val="28"/>
          <w:szCs w:val="28"/>
        </w:rPr>
        <w:t>66.06%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D7773" w:rsidRPr="00BF1E7D" w:rsidRDefault="002D7773" w:rsidP="00C7457A">
      <w:pPr>
        <w:pStyle w:val="1"/>
        <w:spacing w:beforeLines="100" w:afterLines="50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BF1E7D">
        <w:rPr>
          <w:rFonts w:ascii="黑体" w:eastAsia="黑体" w:hAnsi="黑体" w:hint="eastAsia"/>
          <w:sz w:val="32"/>
          <w:szCs w:val="32"/>
        </w:rPr>
        <w:t>、主要标的成交情况</w:t>
      </w:r>
    </w:p>
    <w:p w:rsidR="00BC7DC4" w:rsidRDefault="008A78B9" w:rsidP="00C7457A">
      <w:pPr>
        <w:pStyle w:val="1"/>
        <w:spacing w:beforeLines="100" w:afterLines="50" w:line="240" w:lineRule="atLeast"/>
        <w:ind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上半年，在全国</w:t>
      </w:r>
      <w:r w:rsidR="00BC7DC4">
        <w:rPr>
          <w:rFonts w:ascii="仿宋" w:eastAsia="仿宋" w:hAnsi="仿宋" w:hint="eastAsia"/>
          <w:sz w:val="28"/>
          <w:szCs w:val="28"/>
        </w:rPr>
        <w:t>经济全面走出疫情影响的大背景下</w:t>
      </w:r>
      <w:r>
        <w:rPr>
          <w:rFonts w:ascii="仿宋" w:eastAsia="仿宋" w:hAnsi="仿宋" w:hint="eastAsia"/>
          <w:sz w:val="28"/>
          <w:szCs w:val="28"/>
        </w:rPr>
        <w:t>，</w:t>
      </w:r>
      <w:r w:rsidR="00BC7DC4">
        <w:rPr>
          <w:rFonts w:ascii="仿宋" w:eastAsia="仿宋" w:hAnsi="仿宋" w:hint="eastAsia"/>
          <w:sz w:val="28"/>
          <w:szCs w:val="28"/>
        </w:rPr>
        <w:t>各主要标的成交额同比均出现较大幅度增长</w:t>
      </w:r>
      <w:r w:rsidR="00FF04C8">
        <w:rPr>
          <w:rFonts w:ascii="仿宋" w:eastAsia="仿宋" w:hAnsi="仿宋" w:hint="eastAsia"/>
          <w:sz w:val="28"/>
          <w:szCs w:val="28"/>
        </w:rPr>
        <w:t>（见表1）</w:t>
      </w:r>
      <w:r w:rsidR="00BC7DC4">
        <w:rPr>
          <w:rFonts w:ascii="仿宋" w:eastAsia="仿宋" w:hAnsi="仿宋" w:hint="eastAsia"/>
          <w:sz w:val="28"/>
          <w:szCs w:val="28"/>
        </w:rPr>
        <w:t>。</w:t>
      </w:r>
    </w:p>
    <w:p w:rsidR="00427820" w:rsidRDefault="00BC7DC4" w:rsidP="00C7457A">
      <w:pPr>
        <w:pStyle w:val="1"/>
        <w:spacing w:beforeLines="100" w:afterLines="50" w:line="240" w:lineRule="atLeast"/>
        <w:ind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其中，</w:t>
      </w:r>
      <w:r w:rsidR="00626853" w:rsidRPr="00BF1E7D">
        <w:rPr>
          <w:rFonts w:ascii="仿宋" w:eastAsia="仿宋" w:hAnsi="仿宋" w:hint="eastAsia"/>
          <w:sz w:val="28"/>
          <w:szCs w:val="28"/>
        </w:rPr>
        <w:t>房地产拍卖</w:t>
      </w:r>
      <w:r w:rsidR="00626853">
        <w:rPr>
          <w:rFonts w:ascii="仿宋" w:eastAsia="仿宋" w:hAnsi="仿宋" w:hint="eastAsia"/>
          <w:sz w:val="28"/>
          <w:szCs w:val="28"/>
        </w:rPr>
        <w:t>成交5</w:t>
      </w:r>
      <w:r w:rsidR="00FF04C8">
        <w:rPr>
          <w:rFonts w:ascii="仿宋" w:eastAsia="仿宋" w:hAnsi="仿宋" w:hint="eastAsia"/>
          <w:sz w:val="28"/>
          <w:szCs w:val="28"/>
        </w:rPr>
        <w:t>82亿元，同比增长37.93</w:t>
      </w:r>
      <w:r w:rsidR="00626853">
        <w:rPr>
          <w:rFonts w:ascii="仿宋" w:eastAsia="仿宋" w:hAnsi="仿宋" w:hint="eastAsia"/>
          <w:sz w:val="28"/>
          <w:szCs w:val="28"/>
        </w:rPr>
        <w:t>%；</w:t>
      </w:r>
      <w:r w:rsidR="008A78B9">
        <w:rPr>
          <w:rFonts w:ascii="仿宋" w:eastAsia="仿宋" w:hAnsi="仿宋" w:hint="eastAsia"/>
          <w:sz w:val="28"/>
          <w:szCs w:val="28"/>
        </w:rPr>
        <w:t>土地使用权拍卖成交</w:t>
      </w:r>
      <w:r w:rsidR="00FF04C8">
        <w:rPr>
          <w:rFonts w:ascii="仿宋" w:eastAsia="仿宋" w:hAnsi="仿宋" w:hint="eastAsia"/>
          <w:sz w:val="28"/>
          <w:szCs w:val="28"/>
        </w:rPr>
        <w:t>1926.97</w:t>
      </w:r>
      <w:r w:rsidR="008A78B9">
        <w:rPr>
          <w:rFonts w:ascii="仿宋" w:eastAsia="仿宋" w:hAnsi="仿宋" w:hint="eastAsia"/>
          <w:sz w:val="28"/>
          <w:szCs w:val="28"/>
        </w:rPr>
        <w:t>亿元，同比增长</w:t>
      </w:r>
      <w:r w:rsidR="00FF04C8">
        <w:rPr>
          <w:rFonts w:ascii="仿宋" w:eastAsia="仿宋" w:hAnsi="仿宋" w:hint="eastAsia"/>
          <w:sz w:val="28"/>
          <w:szCs w:val="28"/>
        </w:rPr>
        <w:t>3.8</w:t>
      </w:r>
      <w:r w:rsidR="008A78B9">
        <w:rPr>
          <w:rFonts w:ascii="仿宋" w:eastAsia="仿宋" w:hAnsi="仿宋" w:hint="eastAsia"/>
          <w:sz w:val="28"/>
          <w:szCs w:val="28"/>
        </w:rPr>
        <w:t>9%；</w:t>
      </w:r>
      <w:r w:rsidR="00427820">
        <w:rPr>
          <w:rFonts w:ascii="仿宋" w:eastAsia="仿宋" w:hAnsi="仿宋" w:hint="eastAsia"/>
          <w:sz w:val="28"/>
          <w:szCs w:val="28"/>
        </w:rPr>
        <w:t>机动车拍卖成交</w:t>
      </w:r>
      <w:r w:rsidR="00FF04C8">
        <w:rPr>
          <w:rFonts w:ascii="仿宋" w:eastAsia="仿宋" w:hAnsi="仿宋" w:hint="eastAsia"/>
          <w:sz w:val="28"/>
          <w:szCs w:val="28"/>
        </w:rPr>
        <w:t>125.4</w:t>
      </w:r>
      <w:r w:rsidR="008A78B9">
        <w:rPr>
          <w:rFonts w:ascii="仿宋" w:eastAsia="仿宋" w:hAnsi="仿宋" w:hint="eastAsia"/>
          <w:sz w:val="28"/>
          <w:szCs w:val="28"/>
        </w:rPr>
        <w:t>3亿元，同比增长</w:t>
      </w:r>
      <w:r w:rsidR="00FF04C8">
        <w:rPr>
          <w:rFonts w:ascii="仿宋" w:eastAsia="仿宋" w:hAnsi="仿宋" w:hint="eastAsia"/>
          <w:sz w:val="28"/>
          <w:szCs w:val="28"/>
        </w:rPr>
        <w:t>81.7</w:t>
      </w:r>
      <w:r w:rsidR="008A78B9">
        <w:rPr>
          <w:rFonts w:ascii="仿宋" w:eastAsia="仿宋" w:hAnsi="仿宋" w:hint="eastAsia"/>
          <w:sz w:val="28"/>
          <w:szCs w:val="28"/>
        </w:rPr>
        <w:t>2%，延续了上年同期的高速增长趋势；</w:t>
      </w:r>
      <w:r w:rsidR="00626853">
        <w:rPr>
          <w:rFonts w:ascii="仿宋" w:eastAsia="仿宋" w:hAnsi="仿宋" w:hint="eastAsia"/>
          <w:sz w:val="28"/>
          <w:szCs w:val="28"/>
        </w:rPr>
        <w:t>农副产</w:t>
      </w:r>
      <w:r w:rsidR="00626853">
        <w:rPr>
          <w:rFonts w:ascii="仿宋" w:eastAsia="仿宋" w:hAnsi="仿宋" w:hint="eastAsia"/>
          <w:sz w:val="28"/>
          <w:szCs w:val="28"/>
        </w:rPr>
        <w:lastRenderedPageBreak/>
        <w:t>品拍卖成交</w:t>
      </w:r>
      <w:r w:rsidR="00FF04C8">
        <w:rPr>
          <w:rFonts w:ascii="仿宋" w:eastAsia="仿宋" w:hAnsi="仿宋" w:hint="eastAsia"/>
          <w:sz w:val="28"/>
          <w:szCs w:val="28"/>
        </w:rPr>
        <w:t>16.72</w:t>
      </w:r>
      <w:r w:rsidR="00626853">
        <w:rPr>
          <w:rFonts w:ascii="仿宋" w:eastAsia="仿宋" w:hAnsi="仿宋" w:hint="eastAsia"/>
          <w:sz w:val="28"/>
          <w:szCs w:val="28"/>
        </w:rPr>
        <w:t>亿元</w:t>
      </w:r>
      <w:r w:rsidR="00B07F5D">
        <w:rPr>
          <w:rFonts w:ascii="仿宋" w:eastAsia="仿宋" w:hAnsi="仿宋" w:hint="eastAsia"/>
          <w:sz w:val="28"/>
          <w:szCs w:val="28"/>
        </w:rPr>
        <w:t>，</w:t>
      </w:r>
      <w:r w:rsidR="00FF04C8">
        <w:rPr>
          <w:rFonts w:ascii="仿宋" w:eastAsia="仿宋" w:hAnsi="仿宋" w:hint="eastAsia"/>
          <w:sz w:val="28"/>
          <w:szCs w:val="28"/>
        </w:rPr>
        <w:t>同比增长42.06%</w:t>
      </w:r>
      <w:r w:rsidR="00626853">
        <w:rPr>
          <w:rFonts w:ascii="仿宋" w:eastAsia="仿宋" w:hAnsi="仿宋" w:hint="eastAsia"/>
          <w:sz w:val="28"/>
          <w:szCs w:val="28"/>
        </w:rPr>
        <w:t>；</w:t>
      </w:r>
      <w:r w:rsidR="00626853" w:rsidRPr="00BF1E7D">
        <w:rPr>
          <w:rFonts w:ascii="仿宋" w:eastAsia="仿宋" w:hAnsi="仿宋" w:hint="eastAsia"/>
          <w:sz w:val="28"/>
          <w:szCs w:val="28"/>
        </w:rPr>
        <w:t>股权债权</w:t>
      </w:r>
      <w:r w:rsidR="00626853">
        <w:rPr>
          <w:rFonts w:ascii="仿宋" w:eastAsia="仿宋" w:hAnsi="仿宋" w:hint="eastAsia"/>
          <w:sz w:val="28"/>
          <w:szCs w:val="28"/>
        </w:rPr>
        <w:t>拍卖成交</w:t>
      </w:r>
      <w:r w:rsidR="00FF04C8">
        <w:rPr>
          <w:rFonts w:ascii="仿宋" w:eastAsia="仿宋" w:hAnsi="仿宋" w:hint="eastAsia"/>
          <w:sz w:val="28"/>
          <w:szCs w:val="28"/>
        </w:rPr>
        <w:t>248.29亿元，同比增长34.97%</w:t>
      </w:r>
      <w:r w:rsidR="00626853">
        <w:rPr>
          <w:rFonts w:ascii="仿宋" w:eastAsia="仿宋" w:hAnsi="仿宋" w:hint="eastAsia"/>
          <w:sz w:val="28"/>
          <w:szCs w:val="28"/>
        </w:rPr>
        <w:t>；</w:t>
      </w:r>
      <w:r w:rsidR="008A78B9" w:rsidRPr="00BF1E7D">
        <w:rPr>
          <w:rFonts w:ascii="仿宋" w:eastAsia="仿宋" w:hAnsi="仿宋" w:hint="eastAsia"/>
          <w:sz w:val="28"/>
          <w:szCs w:val="28"/>
        </w:rPr>
        <w:t>无形资产</w:t>
      </w:r>
      <w:r w:rsidR="00427820">
        <w:rPr>
          <w:rFonts w:ascii="仿宋" w:eastAsia="仿宋" w:hAnsi="仿宋" w:hint="eastAsia"/>
          <w:sz w:val="28"/>
          <w:szCs w:val="28"/>
        </w:rPr>
        <w:t>成交</w:t>
      </w:r>
      <w:r w:rsidR="00FF04C8">
        <w:rPr>
          <w:rFonts w:ascii="仿宋" w:eastAsia="仿宋" w:hAnsi="仿宋" w:hint="eastAsia"/>
          <w:sz w:val="28"/>
          <w:szCs w:val="28"/>
        </w:rPr>
        <w:t>148.1</w:t>
      </w:r>
      <w:r w:rsidR="008A78B9">
        <w:rPr>
          <w:rFonts w:ascii="仿宋" w:eastAsia="仿宋" w:hAnsi="仿宋" w:hint="eastAsia"/>
          <w:sz w:val="28"/>
          <w:szCs w:val="28"/>
        </w:rPr>
        <w:t>亿元，同比增长</w:t>
      </w:r>
      <w:r w:rsidR="00FF04C8">
        <w:rPr>
          <w:rFonts w:ascii="仿宋" w:eastAsia="仿宋" w:hAnsi="仿宋" w:hint="eastAsia"/>
          <w:sz w:val="28"/>
          <w:szCs w:val="28"/>
        </w:rPr>
        <w:t>7.83</w:t>
      </w:r>
      <w:r w:rsidR="008A78B9">
        <w:rPr>
          <w:rFonts w:ascii="仿宋" w:eastAsia="仿宋" w:hAnsi="仿宋" w:hint="eastAsia"/>
          <w:sz w:val="28"/>
          <w:szCs w:val="28"/>
        </w:rPr>
        <w:t>%；</w:t>
      </w:r>
      <w:r w:rsidR="00626853" w:rsidRPr="0002413C">
        <w:rPr>
          <w:rFonts w:ascii="仿宋" w:eastAsia="仿宋" w:hAnsi="仿宋" w:hint="eastAsia"/>
          <w:sz w:val="28"/>
          <w:szCs w:val="28"/>
        </w:rPr>
        <w:t>文物艺术品拍卖</w:t>
      </w:r>
      <w:r w:rsidR="00626853">
        <w:rPr>
          <w:rFonts w:ascii="仿宋" w:eastAsia="仿宋" w:hAnsi="仿宋" w:hint="eastAsia"/>
          <w:sz w:val="28"/>
          <w:szCs w:val="28"/>
        </w:rPr>
        <w:t>业务</w:t>
      </w:r>
      <w:r w:rsidR="00FF04C8">
        <w:rPr>
          <w:rFonts w:ascii="仿宋" w:eastAsia="仿宋" w:hAnsi="仿宋" w:hint="eastAsia"/>
          <w:sz w:val="28"/>
          <w:szCs w:val="28"/>
        </w:rPr>
        <w:t>增幅最</w:t>
      </w:r>
      <w:r w:rsidR="00626853">
        <w:rPr>
          <w:rFonts w:ascii="仿宋" w:eastAsia="仿宋" w:hAnsi="仿宋" w:hint="eastAsia"/>
          <w:sz w:val="28"/>
          <w:szCs w:val="28"/>
        </w:rPr>
        <w:t>大，上半年</w:t>
      </w:r>
      <w:r w:rsidR="00626853" w:rsidRPr="0002413C">
        <w:rPr>
          <w:rFonts w:ascii="仿宋" w:eastAsia="仿宋" w:hAnsi="仿宋" w:hint="eastAsia"/>
          <w:sz w:val="28"/>
          <w:szCs w:val="28"/>
        </w:rPr>
        <w:t>成交额</w:t>
      </w:r>
      <w:r w:rsidR="00626853">
        <w:rPr>
          <w:rFonts w:ascii="仿宋" w:eastAsia="仿宋" w:hAnsi="仿宋" w:hint="eastAsia"/>
          <w:sz w:val="28"/>
          <w:szCs w:val="28"/>
        </w:rPr>
        <w:t>为</w:t>
      </w:r>
      <w:r w:rsidR="00FF04C8">
        <w:rPr>
          <w:rFonts w:ascii="仿宋" w:eastAsia="仿宋" w:hAnsi="仿宋" w:hint="eastAsia"/>
          <w:sz w:val="28"/>
          <w:szCs w:val="28"/>
        </w:rPr>
        <w:t>40.4</w:t>
      </w:r>
      <w:r w:rsidR="00F80A34">
        <w:rPr>
          <w:rFonts w:ascii="仿宋" w:eastAsia="仿宋" w:hAnsi="仿宋" w:hint="eastAsia"/>
          <w:sz w:val="28"/>
          <w:szCs w:val="28"/>
        </w:rPr>
        <w:t>亿元，同比增长531.2%</w:t>
      </w:r>
      <w:r w:rsidR="00C7457A">
        <w:rPr>
          <w:rFonts w:ascii="仿宋" w:eastAsia="仿宋" w:hAnsi="仿宋" w:hint="eastAsia"/>
          <w:sz w:val="28"/>
          <w:szCs w:val="28"/>
        </w:rPr>
        <w:t>，主要由于</w:t>
      </w:r>
      <w:r w:rsidR="00F80A34">
        <w:rPr>
          <w:rFonts w:ascii="仿宋" w:eastAsia="仿宋" w:hAnsi="仿宋" w:hint="eastAsia"/>
          <w:sz w:val="28"/>
          <w:szCs w:val="28"/>
        </w:rPr>
        <w:t>去年</w:t>
      </w:r>
      <w:r w:rsidR="00C7457A">
        <w:rPr>
          <w:rFonts w:ascii="仿宋" w:eastAsia="仿宋" w:hAnsi="仿宋" w:hint="eastAsia"/>
          <w:sz w:val="28"/>
          <w:szCs w:val="28"/>
        </w:rPr>
        <w:t>受疫情影响，</w:t>
      </w:r>
      <w:r w:rsidR="00F80A34">
        <w:rPr>
          <w:rFonts w:ascii="仿宋" w:eastAsia="仿宋" w:hAnsi="仿宋" w:hint="eastAsia"/>
          <w:sz w:val="28"/>
          <w:szCs w:val="28"/>
        </w:rPr>
        <w:t>春拍延迟</w:t>
      </w:r>
      <w:r w:rsidR="00C7457A">
        <w:rPr>
          <w:rFonts w:ascii="仿宋" w:eastAsia="仿宋" w:hAnsi="仿宋" w:hint="eastAsia"/>
          <w:sz w:val="28"/>
          <w:szCs w:val="28"/>
        </w:rPr>
        <w:t>，</w:t>
      </w:r>
      <w:r w:rsidR="00F80A34">
        <w:rPr>
          <w:rFonts w:ascii="仿宋" w:eastAsia="仿宋" w:hAnsi="仿宋" w:hint="eastAsia"/>
          <w:sz w:val="28"/>
          <w:szCs w:val="28"/>
        </w:rPr>
        <w:t>今年</w:t>
      </w:r>
      <w:r w:rsidR="00C7457A">
        <w:rPr>
          <w:rFonts w:ascii="仿宋" w:eastAsia="仿宋" w:hAnsi="仿宋" w:hint="eastAsia"/>
          <w:sz w:val="28"/>
          <w:szCs w:val="28"/>
        </w:rPr>
        <w:t>的</w:t>
      </w:r>
      <w:r w:rsidR="00F80A34">
        <w:rPr>
          <w:rFonts w:ascii="仿宋" w:eastAsia="仿宋" w:hAnsi="仿宋" w:hint="eastAsia"/>
          <w:sz w:val="28"/>
          <w:szCs w:val="28"/>
        </w:rPr>
        <w:t>春</w:t>
      </w:r>
      <w:proofErr w:type="gramStart"/>
      <w:r w:rsidR="00F80A34">
        <w:rPr>
          <w:rFonts w:ascii="仿宋" w:eastAsia="仿宋" w:hAnsi="仿宋" w:hint="eastAsia"/>
          <w:sz w:val="28"/>
          <w:szCs w:val="28"/>
        </w:rPr>
        <w:t>拍时间</w:t>
      </w:r>
      <w:proofErr w:type="gramEnd"/>
      <w:r w:rsidR="00C7457A">
        <w:rPr>
          <w:rFonts w:ascii="仿宋" w:eastAsia="仿宋" w:hAnsi="仿宋" w:hint="eastAsia"/>
          <w:sz w:val="28"/>
          <w:szCs w:val="28"/>
        </w:rPr>
        <w:t>恢复</w:t>
      </w:r>
      <w:r w:rsidR="00F80A34">
        <w:rPr>
          <w:rFonts w:ascii="仿宋" w:eastAsia="仿宋" w:hAnsi="仿宋" w:hint="eastAsia"/>
          <w:sz w:val="28"/>
          <w:szCs w:val="28"/>
        </w:rPr>
        <w:t>正常</w:t>
      </w:r>
      <w:r w:rsidR="00C7457A">
        <w:rPr>
          <w:rFonts w:ascii="仿宋" w:eastAsia="仿宋" w:hAnsi="仿宋" w:hint="eastAsia"/>
          <w:sz w:val="28"/>
          <w:szCs w:val="28"/>
        </w:rPr>
        <w:t>，导致成交额出现大幅翻升</w:t>
      </w:r>
      <w:r w:rsidR="00FF04C8">
        <w:rPr>
          <w:rFonts w:ascii="仿宋" w:eastAsia="仿宋" w:hAnsi="仿宋" w:hint="eastAsia"/>
          <w:sz w:val="28"/>
          <w:szCs w:val="28"/>
        </w:rPr>
        <w:t>；</w:t>
      </w:r>
      <w:r w:rsidR="008A78B9" w:rsidRPr="00BF1E7D">
        <w:rPr>
          <w:rFonts w:ascii="仿宋" w:eastAsia="仿宋" w:hAnsi="仿宋" w:hint="eastAsia"/>
          <w:sz w:val="28"/>
          <w:szCs w:val="28"/>
        </w:rPr>
        <w:t>其他类拍卖业务</w:t>
      </w:r>
      <w:r w:rsidR="008A78B9">
        <w:rPr>
          <w:rFonts w:ascii="仿宋" w:eastAsia="仿宋" w:hAnsi="仿宋" w:hint="eastAsia"/>
          <w:sz w:val="28"/>
          <w:szCs w:val="28"/>
        </w:rPr>
        <w:t>成交额</w:t>
      </w:r>
      <w:r w:rsidR="00FF04C8">
        <w:rPr>
          <w:rFonts w:ascii="仿宋" w:eastAsia="仿宋" w:hAnsi="仿宋" w:hint="eastAsia"/>
          <w:sz w:val="28"/>
          <w:szCs w:val="28"/>
        </w:rPr>
        <w:t>489.28</w:t>
      </w:r>
      <w:r w:rsidR="008A78B9">
        <w:rPr>
          <w:rFonts w:ascii="仿宋" w:eastAsia="仿宋" w:hAnsi="仿宋" w:hint="eastAsia"/>
          <w:sz w:val="28"/>
          <w:szCs w:val="28"/>
        </w:rPr>
        <w:t>亿元，同比增长</w:t>
      </w:r>
      <w:r w:rsidR="00FF04C8">
        <w:rPr>
          <w:rFonts w:ascii="仿宋" w:eastAsia="仿宋" w:hAnsi="仿宋" w:hint="eastAsia"/>
          <w:sz w:val="28"/>
          <w:szCs w:val="28"/>
        </w:rPr>
        <w:t>131.21</w:t>
      </w:r>
      <w:r w:rsidR="008A78B9">
        <w:rPr>
          <w:rFonts w:ascii="仿宋" w:eastAsia="仿宋" w:hAnsi="仿宋" w:hint="eastAsia"/>
          <w:sz w:val="28"/>
          <w:szCs w:val="28"/>
        </w:rPr>
        <w:t>%。</w:t>
      </w:r>
    </w:p>
    <w:p w:rsidR="002D7773" w:rsidRPr="00C7457A" w:rsidRDefault="002D7773" w:rsidP="002D7773">
      <w:pPr>
        <w:pStyle w:val="1"/>
        <w:ind w:leftChars="100" w:left="210" w:firstLineChars="0" w:firstLine="0"/>
        <w:jc w:val="center"/>
        <w:rPr>
          <w:rFonts w:ascii="黑体" w:eastAsia="黑体" w:hAnsi="黑体"/>
          <w:sz w:val="24"/>
          <w:szCs w:val="24"/>
        </w:rPr>
      </w:pPr>
    </w:p>
    <w:p w:rsidR="00520962" w:rsidRPr="00BC6B0C" w:rsidRDefault="002D7773" w:rsidP="00C7457A">
      <w:pPr>
        <w:pStyle w:val="1"/>
        <w:spacing w:beforeLines="50"/>
        <w:ind w:firstLineChars="590" w:firstLine="1416"/>
        <w:rPr>
          <w:rFonts w:ascii="黑体" w:eastAsia="黑体" w:hAnsi="黑体"/>
          <w:bCs/>
          <w:sz w:val="24"/>
          <w:szCs w:val="24"/>
        </w:rPr>
      </w:pPr>
      <w:r w:rsidRPr="00520962">
        <w:rPr>
          <w:rFonts w:ascii="黑体" w:eastAsia="黑体" w:hAnsi="黑体" w:hint="eastAsia"/>
          <w:sz w:val="24"/>
          <w:szCs w:val="24"/>
        </w:rPr>
        <w:t>表1</w:t>
      </w:r>
      <w:r w:rsidRPr="00520962">
        <w:rPr>
          <w:rFonts w:ascii="黑体" w:eastAsia="黑体" w:hAnsi="黑体" w:hint="eastAsia"/>
          <w:b/>
          <w:sz w:val="24"/>
          <w:szCs w:val="24"/>
        </w:rPr>
        <w:t xml:space="preserve">  </w:t>
      </w:r>
      <w:r w:rsidR="00520962">
        <w:rPr>
          <w:rFonts w:ascii="黑体" w:eastAsia="黑体" w:hAnsi="黑体" w:hint="eastAsia"/>
          <w:b/>
          <w:sz w:val="24"/>
          <w:szCs w:val="24"/>
        </w:rPr>
        <w:t xml:space="preserve">  </w:t>
      </w:r>
      <w:r w:rsidRPr="00520962">
        <w:rPr>
          <w:rFonts w:ascii="黑体" w:eastAsia="黑体" w:hAnsi="黑体" w:hint="eastAsia"/>
          <w:b/>
          <w:sz w:val="24"/>
          <w:szCs w:val="24"/>
        </w:rPr>
        <w:t xml:space="preserve"> </w:t>
      </w:r>
      <w:r w:rsidRPr="00520962">
        <w:rPr>
          <w:rStyle w:val="a5"/>
          <w:rFonts w:ascii="黑体" w:eastAsia="黑体" w:hAnsi="黑体" w:hint="eastAsia"/>
          <w:b w:val="0"/>
          <w:sz w:val="24"/>
          <w:szCs w:val="24"/>
        </w:rPr>
        <w:t>各标的成交额增长对比表</w:t>
      </w:r>
      <w:r w:rsidR="00520962">
        <w:rPr>
          <w:rStyle w:val="a5"/>
          <w:rFonts w:ascii="黑体" w:eastAsia="黑体" w:hAnsi="黑体" w:hint="eastAsia"/>
          <w:b w:val="0"/>
          <w:sz w:val="24"/>
          <w:szCs w:val="24"/>
        </w:rPr>
        <w:t xml:space="preserve">      </w:t>
      </w:r>
      <w:r w:rsidRPr="00520962">
        <w:rPr>
          <w:rStyle w:val="a5"/>
          <w:rFonts w:ascii="黑体" w:eastAsia="黑体" w:hAnsi="黑体" w:hint="eastAsia"/>
          <w:b w:val="0"/>
          <w:sz w:val="24"/>
          <w:szCs w:val="24"/>
        </w:rPr>
        <w:t>（单位：万元）</w:t>
      </w:r>
    </w:p>
    <w:tbl>
      <w:tblPr>
        <w:tblStyle w:val="3-1"/>
        <w:tblW w:w="5000" w:type="pct"/>
        <w:jc w:val="center"/>
        <w:tblLook w:val="04A0"/>
      </w:tblPr>
      <w:tblGrid>
        <w:gridCol w:w="2092"/>
        <w:gridCol w:w="2269"/>
        <w:gridCol w:w="2412"/>
        <w:gridCol w:w="1749"/>
      </w:tblGrid>
      <w:tr w:rsidR="00F24DB7" w:rsidRPr="00B62CC0" w:rsidTr="00BC7DC4">
        <w:trPr>
          <w:cnfStyle w:val="100000000000"/>
          <w:trHeight w:val="495"/>
          <w:jc w:val="center"/>
        </w:trPr>
        <w:tc>
          <w:tcPr>
            <w:cnfStyle w:val="001000000000"/>
            <w:tcW w:w="1228" w:type="pct"/>
            <w:vAlign w:val="center"/>
            <w:hideMark/>
          </w:tcPr>
          <w:p w:rsidR="00F24DB7" w:rsidRDefault="00F24DB7" w:rsidP="008E6BD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</w:rPr>
              <w:t>各拍卖标的</w:t>
            </w:r>
          </w:p>
        </w:tc>
        <w:tc>
          <w:tcPr>
            <w:tcW w:w="1331" w:type="pct"/>
            <w:vAlign w:val="center"/>
            <w:hideMark/>
          </w:tcPr>
          <w:p w:rsidR="00F24DB7" w:rsidRDefault="00626853" w:rsidP="008E6BD5">
            <w:pPr>
              <w:jc w:val="center"/>
              <w:cnfStyle w:val="10000000000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</w:rPr>
              <w:t>2021</w:t>
            </w:r>
            <w:r w:rsidR="00F24DB7">
              <w:rPr>
                <w:rFonts w:hint="eastAsia"/>
                <w:b w:val="0"/>
                <w:bCs w:val="0"/>
                <w:color w:val="000000"/>
                <w:sz w:val="22"/>
              </w:rPr>
              <w:t>年上半年</w:t>
            </w:r>
          </w:p>
        </w:tc>
        <w:tc>
          <w:tcPr>
            <w:tcW w:w="1415" w:type="pct"/>
            <w:vAlign w:val="center"/>
            <w:hideMark/>
          </w:tcPr>
          <w:p w:rsidR="00F24DB7" w:rsidRDefault="00626853" w:rsidP="008E6BD5">
            <w:pPr>
              <w:jc w:val="center"/>
              <w:cnfStyle w:val="10000000000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</w:rPr>
              <w:t>2020</w:t>
            </w:r>
            <w:r w:rsidR="00F24DB7">
              <w:rPr>
                <w:rFonts w:hint="eastAsia"/>
                <w:b w:val="0"/>
                <w:bCs w:val="0"/>
                <w:color w:val="000000"/>
                <w:sz w:val="22"/>
              </w:rPr>
              <w:t>年上半年</w:t>
            </w:r>
          </w:p>
        </w:tc>
        <w:tc>
          <w:tcPr>
            <w:tcW w:w="1027" w:type="pct"/>
            <w:vAlign w:val="center"/>
            <w:hideMark/>
          </w:tcPr>
          <w:p w:rsidR="00F24DB7" w:rsidRDefault="00F24DB7" w:rsidP="008E6BD5">
            <w:pPr>
              <w:jc w:val="center"/>
              <w:cnfStyle w:val="10000000000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</w:rPr>
              <w:t>同比增长率（</w:t>
            </w:r>
            <w:r>
              <w:rPr>
                <w:rFonts w:hint="eastAsia"/>
                <w:b w:val="0"/>
                <w:bCs w:val="0"/>
                <w:color w:val="000000"/>
                <w:sz w:val="22"/>
              </w:rPr>
              <w:t>%</w:t>
            </w:r>
            <w:r>
              <w:rPr>
                <w:rFonts w:hint="eastAsia"/>
                <w:b w:val="0"/>
                <w:bCs w:val="0"/>
                <w:color w:val="000000"/>
                <w:sz w:val="22"/>
              </w:rPr>
              <w:t>）</w:t>
            </w:r>
          </w:p>
        </w:tc>
      </w:tr>
      <w:tr w:rsidR="00BC7DC4" w:rsidRPr="00B62CC0" w:rsidTr="00BC7DC4">
        <w:trPr>
          <w:cnfStyle w:val="000000100000"/>
          <w:trHeight w:val="447"/>
          <w:jc w:val="center"/>
        </w:trPr>
        <w:tc>
          <w:tcPr>
            <w:cnfStyle w:val="001000000000"/>
            <w:tcW w:w="1228" w:type="pct"/>
            <w:vAlign w:val="center"/>
            <w:hideMark/>
          </w:tcPr>
          <w:p w:rsidR="00BC7DC4" w:rsidRDefault="00BC7DC4" w:rsidP="008E6BD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</w:rPr>
              <w:t>房地产拍卖</w:t>
            </w:r>
          </w:p>
        </w:tc>
        <w:tc>
          <w:tcPr>
            <w:tcW w:w="1331" w:type="pct"/>
            <w:vAlign w:val="center"/>
            <w:hideMark/>
          </w:tcPr>
          <w:p w:rsidR="00BC7DC4" w:rsidRDefault="00BC7DC4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5820074.429</w:t>
            </w:r>
          </w:p>
        </w:tc>
        <w:tc>
          <w:tcPr>
            <w:tcW w:w="1415" w:type="pct"/>
            <w:vAlign w:val="center"/>
            <w:hideMark/>
          </w:tcPr>
          <w:p w:rsidR="00BC7DC4" w:rsidRDefault="00BC7DC4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4219469.817</w:t>
            </w:r>
          </w:p>
        </w:tc>
        <w:tc>
          <w:tcPr>
            <w:tcW w:w="1027" w:type="pct"/>
            <w:vAlign w:val="center"/>
            <w:hideMark/>
          </w:tcPr>
          <w:p w:rsidR="00BC7DC4" w:rsidRDefault="00BC7DC4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37.93</w:t>
            </w:r>
          </w:p>
        </w:tc>
      </w:tr>
      <w:tr w:rsidR="00BC7DC4" w:rsidRPr="00B62CC0" w:rsidTr="00BC7DC4">
        <w:trPr>
          <w:trHeight w:val="528"/>
          <w:jc w:val="center"/>
        </w:trPr>
        <w:tc>
          <w:tcPr>
            <w:cnfStyle w:val="001000000000"/>
            <w:tcW w:w="1228" w:type="pct"/>
            <w:vAlign w:val="center"/>
            <w:hideMark/>
          </w:tcPr>
          <w:p w:rsidR="00BC7DC4" w:rsidRDefault="00BC7DC4" w:rsidP="008E6BD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</w:rPr>
              <w:t>土地使用权拍卖</w:t>
            </w:r>
          </w:p>
        </w:tc>
        <w:tc>
          <w:tcPr>
            <w:tcW w:w="1331" w:type="pct"/>
            <w:vAlign w:val="center"/>
            <w:hideMark/>
          </w:tcPr>
          <w:p w:rsidR="00BC7DC4" w:rsidRDefault="00BC7DC4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19269740.66</w:t>
            </w:r>
          </w:p>
        </w:tc>
        <w:tc>
          <w:tcPr>
            <w:tcW w:w="1415" w:type="pct"/>
            <w:vAlign w:val="center"/>
            <w:hideMark/>
          </w:tcPr>
          <w:p w:rsidR="00BC7DC4" w:rsidRDefault="00BC7DC4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18548866.04</w:t>
            </w:r>
          </w:p>
        </w:tc>
        <w:tc>
          <w:tcPr>
            <w:tcW w:w="1027" w:type="pct"/>
            <w:vAlign w:val="center"/>
            <w:hideMark/>
          </w:tcPr>
          <w:p w:rsidR="00BC7DC4" w:rsidRDefault="00BC7DC4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3.89</w:t>
            </w:r>
          </w:p>
        </w:tc>
      </w:tr>
      <w:tr w:rsidR="00BC7DC4" w:rsidRPr="00B62CC0" w:rsidTr="00BC7DC4">
        <w:trPr>
          <w:cnfStyle w:val="000000100000"/>
          <w:trHeight w:val="548"/>
          <w:jc w:val="center"/>
        </w:trPr>
        <w:tc>
          <w:tcPr>
            <w:cnfStyle w:val="001000000000"/>
            <w:tcW w:w="1228" w:type="pct"/>
            <w:vAlign w:val="center"/>
            <w:hideMark/>
          </w:tcPr>
          <w:p w:rsidR="00BC7DC4" w:rsidRDefault="00BC7DC4" w:rsidP="008E6BD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</w:rPr>
              <w:t>机动车拍卖</w:t>
            </w:r>
          </w:p>
        </w:tc>
        <w:tc>
          <w:tcPr>
            <w:tcW w:w="1331" w:type="pct"/>
            <w:vAlign w:val="center"/>
            <w:hideMark/>
          </w:tcPr>
          <w:p w:rsidR="00BC7DC4" w:rsidRDefault="00BC7DC4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1254268.989</w:t>
            </w:r>
          </w:p>
        </w:tc>
        <w:tc>
          <w:tcPr>
            <w:tcW w:w="1415" w:type="pct"/>
            <w:vAlign w:val="center"/>
            <w:hideMark/>
          </w:tcPr>
          <w:p w:rsidR="00BC7DC4" w:rsidRDefault="00BC7DC4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690205.4779</w:t>
            </w:r>
          </w:p>
        </w:tc>
        <w:tc>
          <w:tcPr>
            <w:tcW w:w="1027" w:type="pct"/>
            <w:vAlign w:val="center"/>
            <w:hideMark/>
          </w:tcPr>
          <w:p w:rsidR="00BC7DC4" w:rsidRDefault="00BC7DC4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81.72</w:t>
            </w:r>
          </w:p>
        </w:tc>
      </w:tr>
      <w:tr w:rsidR="00BC7DC4" w:rsidRPr="00B62CC0" w:rsidTr="00BC7DC4">
        <w:trPr>
          <w:trHeight w:val="557"/>
          <w:jc w:val="center"/>
        </w:trPr>
        <w:tc>
          <w:tcPr>
            <w:cnfStyle w:val="001000000000"/>
            <w:tcW w:w="1228" w:type="pct"/>
            <w:vAlign w:val="center"/>
            <w:hideMark/>
          </w:tcPr>
          <w:p w:rsidR="00BC7DC4" w:rsidRDefault="00BC7DC4" w:rsidP="008E6BD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</w:rPr>
              <w:t>农副产品拍卖</w:t>
            </w:r>
          </w:p>
        </w:tc>
        <w:tc>
          <w:tcPr>
            <w:tcW w:w="1331" w:type="pct"/>
            <w:vAlign w:val="center"/>
            <w:hideMark/>
          </w:tcPr>
          <w:p w:rsidR="00BC7DC4" w:rsidRDefault="00BC7DC4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167184.8472</w:t>
            </w:r>
          </w:p>
        </w:tc>
        <w:tc>
          <w:tcPr>
            <w:tcW w:w="1415" w:type="pct"/>
            <w:vAlign w:val="center"/>
            <w:hideMark/>
          </w:tcPr>
          <w:p w:rsidR="00BC7DC4" w:rsidRDefault="00BC7DC4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117683.2893</w:t>
            </w:r>
          </w:p>
        </w:tc>
        <w:tc>
          <w:tcPr>
            <w:tcW w:w="1027" w:type="pct"/>
            <w:vAlign w:val="center"/>
            <w:hideMark/>
          </w:tcPr>
          <w:p w:rsidR="00BC7DC4" w:rsidRDefault="00BC7DC4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42.06</w:t>
            </w:r>
          </w:p>
        </w:tc>
      </w:tr>
      <w:tr w:rsidR="00BC7DC4" w:rsidRPr="00B62CC0" w:rsidTr="00BC7DC4">
        <w:trPr>
          <w:cnfStyle w:val="000000100000"/>
          <w:trHeight w:val="532"/>
          <w:jc w:val="center"/>
        </w:trPr>
        <w:tc>
          <w:tcPr>
            <w:cnfStyle w:val="001000000000"/>
            <w:tcW w:w="1228" w:type="pct"/>
            <w:vAlign w:val="center"/>
            <w:hideMark/>
          </w:tcPr>
          <w:p w:rsidR="00BC7DC4" w:rsidRDefault="00BC7DC4" w:rsidP="008E6BD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</w:rPr>
              <w:t>股权、债权拍卖</w:t>
            </w:r>
          </w:p>
        </w:tc>
        <w:tc>
          <w:tcPr>
            <w:tcW w:w="1331" w:type="pct"/>
            <w:vAlign w:val="center"/>
            <w:hideMark/>
          </w:tcPr>
          <w:p w:rsidR="00BC7DC4" w:rsidRDefault="00BC7DC4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2482911.425</w:t>
            </w:r>
          </w:p>
        </w:tc>
        <w:tc>
          <w:tcPr>
            <w:tcW w:w="1415" w:type="pct"/>
            <w:vAlign w:val="center"/>
            <w:hideMark/>
          </w:tcPr>
          <w:p w:rsidR="00BC7DC4" w:rsidRDefault="00BC7DC4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1839545.838</w:t>
            </w:r>
          </w:p>
        </w:tc>
        <w:tc>
          <w:tcPr>
            <w:tcW w:w="1027" w:type="pct"/>
            <w:vAlign w:val="center"/>
            <w:hideMark/>
          </w:tcPr>
          <w:p w:rsidR="00BC7DC4" w:rsidRDefault="00BC7DC4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34.97</w:t>
            </w:r>
          </w:p>
        </w:tc>
      </w:tr>
      <w:tr w:rsidR="00BC7DC4" w:rsidRPr="00B62CC0" w:rsidTr="00BC7DC4">
        <w:trPr>
          <w:trHeight w:val="588"/>
          <w:jc w:val="center"/>
        </w:trPr>
        <w:tc>
          <w:tcPr>
            <w:cnfStyle w:val="001000000000"/>
            <w:tcW w:w="1228" w:type="pct"/>
            <w:vAlign w:val="center"/>
            <w:hideMark/>
          </w:tcPr>
          <w:p w:rsidR="00BC7DC4" w:rsidRDefault="00BC7DC4" w:rsidP="008E6BD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</w:rPr>
              <w:t>无形资产拍卖</w:t>
            </w:r>
          </w:p>
        </w:tc>
        <w:tc>
          <w:tcPr>
            <w:tcW w:w="1331" w:type="pct"/>
            <w:vAlign w:val="center"/>
            <w:hideMark/>
          </w:tcPr>
          <w:p w:rsidR="00BC7DC4" w:rsidRDefault="00BC7DC4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1480997.016</w:t>
            </w:r>
          </w:p>
        </w:tc>
        <w:tc>
          <w:tcPr>
            <w:tcW w:w="1415" w:type="pct"/>
            <w:vAlign w:val="center"/>
            <w:hideMark/>
          </w:tcPr>
          <w:p w:rsidR="00BC7DC4" w:rsidRDefault="00BC7DC4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1373411.048</w:t>
            </w:r>
          </w:p>
        </w:tc>
        <w:tc>
          <w:tcPr>
            <w:tcW w:w="1027" w:type="pct"/>
            <w:vAlign w:val="center"/>
            <w:hideMark/>
          </w:tcPr>
          <w:p w:rsidR="00BC7DC4" w:rsidRDefault="00BC7DC4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7.83</w:t>
            </w:r>
          </w:p>
        </w:tc>
      </w:tr>
      <w:tr w:rsidR="00BC7DC4" w:rsidRPr="00B62CC0" w:rsidTr="00BC7DC4">
        <w:trPr>
          <w:cnfStyle w:val="000000100000"/>
          <w:trHeight w:val="596"/>
          <w:jc w:val="center"/>
        </w:trPr>
        <w:tc>
          <w:tcPr>
            <w:cnfStyle w:val="001000000000"/>
            <w:tcW w:w="1228" w:type="pct"/>
            <w:vAlign w:val="center"/>
            <w:hideMark/>
          </w:tcPr>
          <w:p w:rsidR="00BC7DC4" w:rsidRDefault="00BC7DC4" w:rsidP="008E6BD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</w:rPr>
              <w:t>文物艺术品拍卖</w:t>
            </w:r>
          </w:p>
        </w:tc>
        <w:tc>
          <w:tcPr>
            <w:tcW w:w="1331" w:type="pct"/>
            <w:vAlign w:val="center"/>
            <w:hideMark/>
          </w:tcPr>
          <w:p w:rsidR="00BC7DC4" w:rsidRDefault="00BC7DC4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404018.3389</w:t>
            </w:r>
          </w:p>
        </w:tc>
        <w:tc>
          <w:tcPr>
            <w:tcW w:w="1415" w:type="pct"/>
            <w:vAlign w:val="center"/>
            <w:hideMark/>
          </w:tcPr>
          <w:p w:rsidR="00BC7DC4" w:rsidRDefault="00BC7DC4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64008.2676</w:t>
            </w:r>
          </w:p>
        </w:tc>
        <w:tc>
          <w:tcPr>
            <w:tcW w:w="1027" w:type="pct"/>
            <w:vAlign w:val="center"/>
            <w:hideMark/>
          </w:tcPr>
          <w:p w:rsidR="00BC7DC4" w:rsidRDefault="00BC7DC4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531.2</w:t>
            </w:r>
          </w:p>
        </w:tc>
      </w:tr>
      <w:tr w:rsidR="00BC7DC4" w:rsidRPr="00B62CC0" w:rsidTr="00BC7DC4">
        <w:trPr>
          <w:trHeight w:val="492"/>
          <w:jc w:val="center"/>
        </w:trPr>
        <w:tc>
          <w:tcPr>
            <w:cnfStyle w:val="001000000000"/>
            <w:tcW w:w="1228" w:type="pct"/>
            <w:vAlign w:val="center"/>
            <w:hideMark/>
          </w:tcPr>
          <w:p w:rsidR="00BC7DC4" w:rsidRDefault="00BC7DC4" w:rsidP="008E6BD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</w:rPr>
              <w:t>其他拍卖</w:t>
            </w:r>
          </w:p>
        </w:tc>
        <w:tc>
          <w:tcPr>
            <w:tcW w:w="1331" w:type="pct"/>
            <w:vAlign w:val="center"/>
            <w:hideMark/>
          </w:tcPr>
          <w:p w:rsidR="00BC7DC4" w:rsidRDefault="00BC7DC4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4892823.66</w:t>
            </w:r>
          </w:p>
        </w:tc>
        <w:tc>
          <w:tcPr>
            <w:tcW w:w="1415" w:type="pct"/>
            <w:vAlign w:val="center"/>
            <w:hideMark/>
          </w:tcPr>
          <w:p w:rsidR="00BC7DC4" w:rsidRDefault="00BC7DC4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2116163.698</w:t>
            </w:r>
          </w:p>
        </w:tc>
        <w:tc>
          <w:tcPr>
            <w:tcW w:w="1027" w:type="pct"/>
            <w:vAlign w:val="center"/>
            <w:hideMark/>
          </w:tcPr>
          <w:p w:rsidR="00BC7DC4" w:rsidRDefault="00BC7DC4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131.21</w:t>
            </w:r>
          </w:p>
        </w:tc>
      </w:tr>
      <w:tr w:rsidR="00BC7DC4" w:rsidRPr="00B62CC0" w:rsidTr="00BC7DC4">
        <w:trPr>
          <w:cnfStyle w:val="000000100000"/>
          <w:trHeight w:val="495"/>
          <w:jc w:val="center"/>
        </w:trPr>
        <w:tc>
          <w:tcPr>
            <w:cnfStyle w:val="001000000000"/>
            <w:tcW w:w="1228" w:type="pct"/>
            <w:vAlign w:val="center"/>
            <w:hideMark/>
          </w:tcPr>
          <w:p w:rsidR="00BC7DC4" w:rsidRDefault="00BC7DC4" w:rsidP="008E6BD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</w:rPr>
              <w:t>成交额合计</w:t>
            </w:r>
          </w:p>
        </w:tc>
        <w:tc>
          <w:tcPr>
            <w:tcW w:w="1331" w:type="pct"/>
            <w:vAlign w:val="center"/>
            <w:hideMark/>
          </w:tcPr>
          <w:p w:rsidR="00BC7DC4" w:rsidRDefault="00BC7DC4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35772343.37</w:t>
            </w:r>
          </w:p>
        </w:tc>
        <w:tc>
          <w:tcPr>
            <w:tcW w:w="1415" w:type="pct"/>
            <w:vAlign w:val="center"/>
            <w:hideMark/>
          </w:tcPr>
          <w:p w:rsidR="00BC7DC4" w:rsidRDefault="00BC7DC4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28969353.48</w:t>
            </w:r>
          </w:p>
        </w:tc>
        <w:tc>
          <w:tcPr>
            <w:tcW w:w="1027" w:type="pct"/>
            <w:vAlign w:val="center"/>
            <w:hideMark/>
          </w:tcPr>
          <w:p w:rsidR="00BC7DC4" w:rsidRDefault="00BC7DC4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23.48</w:t>
            </w:r>
          </w:p>
        </w:tc>
      </w:tr>
    </w:tbl>
    <w:p w:rsidR="002D7773" w:rsidRPr="00B07F5D" w:rsidRDefault="00B07F5D" w:rsidP="00C7457A">
      <w:pPr>
        <w:pStyle w:val="1"/>
        <w:spacing w:beforeLines="50"/>
        <w:ind w:firstLine="560"/>
        <w:rPr>
          <w:rFonts w:ascii="仿宋" w:eastAsia="仿宋" w:hAnsi="仿宋"/>
          <w:sz w:val="28"/>
          <w:szCs w:val="28"/>
        </w:rPr>
      </w:pPr>
      <w:r w:rsidRPr="00B07F5D">
        <w:rPr>
          <w:rFonts w:ascii="仿宋" w:eastAsia="仿宋" w:hAnsi="仿宋"/>
          <w:sz w:val="28"/>
          <w:szCs w:val="28"/>
        </w:rPr>
        <w:t>房地产</w:t>
      </w:r>
      <w:r w:rsidRPr="00B07F5D">
        <w:rPr>
          <w:rFonts w:ascii="仿宋" w:eastAsia="仿宋" w:hAnsi="仿宋" w:hint="eastAsia"/>
          <w:sz w:val="28"/>
          <w:szCs w:val="28"/>
        </w:rPr>
        <w:t>、</w:t>
      </w:r>
      <w:r w:rsidRPr="00B07F5D">
        <w:rPr>
          <w:rFonts w:ascii="仿宋" w:eastAsia="仿宋" w:hAnsi="仿宋"/>
          <w:sz w:val="28"/>
          <w:szCs w:val="28"/>
        </w:rPr>
        <w:t>土地使用权</w:t>
      </w:r>
      <w:r w:rsidR="00C7457A">
        <w:rPr>
          <w:rFonts w:ascii="仿宋" w:eastAsia="仿宋" w:hAnsi="仿宋"/>
          <w:sz w:val="28"/>
          <w:szCs w:val="28"/>
        </w:rPr>
        <w:t>拍卖仍然</w:t>
      </w:r>
      <w:r w:rsidRPr="00B07F5D">
        <w:rPr>
          <w:rFonts w:ascii="仿宋" w:eastAsia="仿宋" w:hAnsi="仿宋"/>
          <w:sz w:val="28"/>
          <w:szCs w:val="28"/>
        </w:rPr>
        <w:t>是行业重大业务板块</w:t>
      </w:r>
      <w:r w:rsidRPr="00B07F5D">
        <w:rPr>
          <w:rFonts w:ascii="仿宋" w:eastAsia="仿宋" w:hAnsi="仿宋" w:hint="eastAsia"/>
          <w:sz w:val="28"/>
          <w:szCs w:val="28"/>
        </w:rPr>
        <w:t>，</w:t>
      </w:r>
      <w:r w:rsidRPr="00B07F5D">
        <w:rPr>
          <w:rFonts w:ascii="仿宋" w:eastAsia="仿宋" w:hAnsi="仿宋"/>
          <w:sz w:val="28"/>
          <w:szCs w:val="28"/>
        </w:rPr>
        <w:t>其成交额的稳固增长是带动行业恢复和超</w:t>
      </w:r>
      <w:r w:rsidR="00C7457A">
        <w:rPr>
          <w:rFonts w:ascii="仿宋" w:eastAsia="仿宋" w:hAnsi="仿宋"/>
          <w:sz w:val="28"/>
          <w:szCs w:val="28"/>
        </w:rPr>
        <w:t>过疫情前</w:t>
      </w:r>
      <w:r w:rsidRPr="00B07F5D">
        <w:rPr>
          <w:rFonts w:ascii="仿宋" w:eastAsia="仿宋" w:hAnsi="仿宋"/>
          <w:sz w:val="28"/>
          <w:szCs w:val="28"/>
        </w:rPr>
        <w:t>经营水平的重要原因</w:t>
      </w:r>
      <w:r w:rsidRPr="00B07F5D">
        <w:rPr>
          <w:rFonts w:ascii="仿宋" w:eastAsia="仿宋" w:hAnsi="仿宋" w:hint="eastAsia"/>
          <w:sz w:val="28"/>
          <w:szCs w:val="28"/>
        </w:rPr>
        <w:t>。</w:t>
      </w:r>
    </w:p>
    <w:p w:rsidR="002D7773" w:rsidRPr="00BF1E7D" w:rsidRDefault="002D7773" w:rsidP="002D7773">
      <w:pPr>
        <w:pStyle w:val="1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BF1E7D">
        <w:rPr>
          <w:rFonts w:ascii="黑体" w:eastAsia="黑体" w:hAnsi="黑体" w:hint="eastAsia"/>
          <w:sz w:val="32"/>
          <w:szCs w:val="32"/>
        </w:rPr>
        <w:t>、主要委托对象成交情况</w:t>
      </w:r>
    </w:p>
    <w:p w:rsidR="008E6BD5" w:rsidRDefault="008E6BD5" w:rsidP="008E6BD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上半年</w:t>
      </w:r>
      <w:r w:rsidR="004657B8" w:rsidRPr="00B20DA4">
        <w:rPr>
          <w:rFonts w:ascii="仿宋" w:eastAsia="仿宋" w:hAnsi="仿宋" w:cs="宋体" w:hint="eastAsia"/>
          <w:kern w:val="0"/>
          <w:sz w:val="28"/>
          <w:szCs w:val="28"/>
        </w:rPr>
        <w:t>，拍卖业务委托结构</w:t>
      </w:r>
      <w:r w:rsidR="00F80A34" w:rsidRPr="00B20DA4">
        <w:rPr>
          <w:rFonts w:ascii="仿宋" w:eastAsia="仿宋" w:hAnsi="仿宋" w:cs="宋体" w:hint="eastAsia"/>
          <w:kern w:val="0"/>
          <w:sz w:val="28"/>
          <w:szCs w:val="28"/>
        </w:rPr>
        <w:t>保持</w:t>
      </w:r>
      <w:r w:rsidR="004657B8" w:rsidRPr="00B20DA4">
        <w:rPr>
          <w:rFonts w:ascii="仿宋" w:eastAsia="仿宋" w:hAnsi="仿宋" w:cs="宋体" w:hint="eastAsia"/>
          <w:kern w:val="0"/>
          <w:sz w:val="28"/>
          <w:szCs w:val="28"/>
        </w:rPr>
        <w:t>相对稳定，</w:t>
      </w:r>
      <w:r w:rsidR="00F80A34">
        <w:rPr>
          <w:rFonts w:ascii="仿宋" w:eastAsia="仿宋" w:hAnsi="仿宋" w:cs="宋体" w:hint="eastAsia"/>
          <w:kern w:val="0"/>
          <w:sz w:val="28"/>
          <w:szCs w:val="28"/>
        </w:rPr>
        <w:t>除</w:t>
      </w:r>
      <w:r w:rsidR="00F80A34">
        <w:rPr>
          <w:rFonts w:ascii="仿宋" w:eastAsia="仿宋" w:hAnsi="仿宋" w:hint="eastAsia"/>
          <w:sz w:val="28"/>
          <w:szCs w:val="28"/>
        </w:rPr>
        <w:t>金融机构委托业务</w:t>
      </w:r>
      <w:r w:rsidR="00F80A34">
        <w:rPr>
          <w:rFonts w:ascii="仿宋" w:eastAsia="仿宋" w:hAnsi="仿宋" w:hint="eastAsia"/>
          <w:sz w:val="28"/>
          <w:szCs w:val="28"/>
        </w:rPr>
        <w:lastRenderedPageBreak/>
        <w:t>成交额有所</w:t>
      </w:r>
      <w:r w:rsidR="00F80A34" w:rsidRPr="00EA01EE">
        <w:rPr>
          <w:rFonts w:ascii="仿宋" w:eastAsia="仿宋" w:hAnsi="仿宋" w:hint="eastAsia"/>
          <w:sz w:val="28"/>
          <w:szCs w:val="28"/>
        </w:rPr>
        <w:t>下降</w:t>
      </w:r>
      <w:r w:rsidR="00D071C2">
        <w:rPr>
          <w:rFonts w:ascii="仿宋" w:eastAsia="仿宋" w:hAnsi="仿宋" w:hint="eastAsia"/>
          <w:sz w:val="28"/>
          <w:szCs w:val="28"/>
        </w:rPr>
        <w:t>外，其他</w:t>
      </w:r>
      <w:proofErr w:type="gramStart"/>
      <w:r w:rsidR="00D071C2">
        <w:rPr>
          <w:rFonts w:ascii="仿宋" w:eastAsia="仿宋" w:hAnsi="仿宋" w:hint="eastAsia"/>
          <w:sz w:val="28"/>
          <w:szCs w:val="28"/>
        </w:rPr>
        <w:t>各</w:t>
      </w:r>
      <w:r w:rsidR="00F80A34">
        <w:rPr>
          <w:rFonts w:ascii="仿宋" w:eastAsia="仿宋" w:hAnsi="仿宋" w:hint="eastAsia"/>
          <w:sz w:val="28"/>
          <w:szCs w:val="28"/>
        </w:rPr>
        <w:t>委托方业务</w:t>
      </w:r>
      <w:proofErr w:type="gramEnd"/>
      <w:r w:rsidR="00F80A34">
        <w:rPr>
          <w:rFonts w:ascii="仿宋" w:eastAsia="仿宋" w:hAnsi="仿宋" w:hint="eastAsia"/>
          <w:sz w:val="28"/>
          <w:szCs w:val="28"/>
        </w:rPr>
        <w:t>成交额均呈增长态势</w:t>
      </w:r>
      <w:r w:rsidR="00F80A34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D7773" w:rsidRDefault="00F80A34" w:rsidP="002D777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其中</w:t>
      </w:r>
      <w:r w:rsidR="002D7773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法院委托拍卖成交245.18亿元，同比增长53.15%；政府部门委托拍卖成交2204.75亿元，同比增长12.93%；</w:t>
      </w:r>
      <w:r w:rsidR="008E6BD5">
        <w:rPr>
          <w:rFonts w:ascii="仿宋" w:eastAsia="仿宋" w:hAnsi="仿宋" w:hint="eastAsia"/>
          <w:sz w:val="28"/>
          <w:szCs w:val="28"/>
        </w:rPr>
        <w:t>破产清算组委托拍卖成交</w:t>
      </w:r>
      <w:r>
        <w:rPr>
          <w:rFonts w:ascii="仿宋" w:eastAsia="仿宋" w:hAnsi="仿宋" w:hint="eastAsia"/>
          <w:sz w:val="28"/>
          <w:szCs w:val="28"/>
        </w:rPr>
        <w:t>63.68</w:t>
      </w:r>
      <w:r w:rsidR="00D17CAC">
        <w:rPr>
          <w:rFonts w:ascii="仿宋" w:eastAsia="仿宋" w:hAnsi="仿宋" w:hint="eastAsia"/>
          <w:sz w:val="28"/>
          <w:szCs w:val="28"/>
        </w:rPr>
        <w:t>亿元，同比增长</w:t>
      </w:r>
      <w:r>
        <w:rPr>
          <w:rFonts w:ascii="仿宋" w:eastAsia="仿宋" w:hAnsi="仿宋" w:hint="eastAsia"/>
          <w:sz w:val="28"/>
          <w:szCs w:val="28"/>
        </w:rPr>
        <w:t>89.02</w:t>
      </w:r>
      <w:r w:rsidR="00D17CAC">
        <w:rPr>
          <w:rFonts w:ascii="仿宋" w:eastAsia="仿宋" w:hAnsi="仿宋" w:hint="eastAsia"/>
          <w:sz w:val="28"/>
          <w:szCs w:val="28"/>
        </w:rPr>
        <w:t>%；</w:t>
      </w:r>
      <w:r w:rsidR="00775280">
        <w:rPr>
          <w:rFonts w:ascii="仿宋" w:eastAsia="仿宋" w:hAnsi="仿宋" w:hint="eastAsia"/>
          <w:sz w:val="28"/>
          <w:szCs w:val="28"/>
        </w:rPr>
        <w:t>其他</w:t>
      </w:r>
      <w:r w:rsidR="008E6BD5">
        <w:rPr>
          <w:rFonts w:ascii="仿宋" w:eastAsia="仿宋" w:hAnsi="仿宋" w:hint="eastAsia"/>
          <w:sz w:val="28"/>
          <w:szCs w:val="28"/>
        </w:rPr>
        <w:t>机构委托拍卖成交</w:t>
      </w:r>
      <w:r w:rsidR="009E0A30">
        <w:rPr>
          <w:rFonts w:ascii="仿宋" w:eastAsia="仿宋" w:hAnsi="仿宋" w:hint="eastAsia"/>
          <w:sz w:val="28"/>
          <w:szCs w:val="28"/>
        </w:rPr>
        <w:t>772.11</w:t>
      </w:r>
      <w:r w:rsidR="00D17CAC">
        <w:rPr>
          <w:rFonts w:ascii="仿宋" w:eastAsia="仿宋" w:hAnsi="仿宋" w:hint="eastAsia"/>
          <w:sz w:val="28"/>
          <w:szCs w:val="28"/>
        </w:rPr>
        <w:t>亿元，同比增长</w:t>
      </w:r>
      <w:r w:rsidR="009E0A30">
        <w:rPr>
          <w:rFonts w:ascii="仿宋" w:eastAsia="仿宋" w:hAnsi="仿宋" w:hint="eastAsia"/>
          <w:sz w:val="28"/>
          <w:szCs w:val="28"/>
        </w:rPr>
        <w:t>60.4</w:t>
      </w:r>
      <w:r w:rsidR="00D17CAC">
        <w:rPr>
          <w:rFonts w:ascii="仿宋" w:eastAsia="仿宋" w:hAnsi="仿宋" w:hint="eastAsia"/>
          <w:sz w:val="28"/>
          <w:szCs w:val="28"/>
        </w:rPr>
        <w:t>4%</w:t>
      </w:r>
      <w:r w:rsidR="008E6BD5">
        <w:rPr>
          <w:rFonts w:ascii="仿宋" w:eastAsia="仿宋" w:hAnsi="仿宋" w:hint="eastAsia"/>
          <w:sz w:val="28"/>
          <w:szCs w:val="28"/>
        </w:rPr>
        <w:t>；个人委托拍卖成交</w:t>
      </w:r>
      <w:r w:rsidR="009E0A30">
        <w:rPr>
          <w:rFonts w:ascii="仿宋" w:eastAsia="仿宋" w:hAnsi="仿宋" w:hint="eastAsia"/>
          <w:sz w:val="28"/>
          <w:szCs w:val="28"/>
        </w:rPr>
        <w:t>102.91亿元，同比增长190.79</w:t>
      </w:r>
      <w:r w:rsidR="002D7773">
        <w:rPr>
          <w:rFonts w:ascii="仿宋" w:eastAsia="仿宋" w:hAnsi="仿宋" w:hint="eastAsia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；金融机构委托拍卖成交</w:t>
      </w:r>
      <w:r w:rsidR="009E0A30">
        <w:rPr>
          <w:rFonts w:ascii="仿宋" w:eastAsia="仿宋" w:hAnsi="仿宋" w:hint="eastAsia"/>
          <w:sz w:val="28"/>
          <w:szCs w:val="28"/>
        </w:rPr>
        <w:t>188.59</w:t>
      </w:r>
      <w:r>
        <w:rPr>
          <w:rFonts w:ascii="仿宋" w:eastAsia="仿宋" w:hAnsi="仿宋" w:hint="eastAsia"/>
          <w:sz w:val="28"/>
          <w:szCs w:val="28"/>
        </w:rPr>
        <w:t>亿元，同比下降</w:t>
      </w:r>
      <w:r w:rsidR="009E0A30">
        <w:rPr>
          <w:rFonts w:ascii="仿宋" w:eastAsia="仿宋" w:hAnsi="仿宋" w:hint="eastAsia"/>
          <w:sz w:val="28"/>
          <w:szCs w:val="28"/>
        </w:rPr>
        <w:t>19.45</w:t>
      </w:r>
      <w:r>
        <w:rPr>
          <w:rFonts w:ascii="仿宋" w:eastAsia="仿宋" w:hAnsi="仿宋" w:hint="eastAsia"/>
          <w:sz w:val="28"/>
          <w:szCs w:val="28"/>
        </w:rPr>
        <w:t>%</w:t>
      </w:r>
      <w:r w:rsidR="008E6BD5">
        <w:rPr>
          <w:rFonts w:ascii="仿宋" w:eastAsia="仿宋" w:hAnsi="仿宋" w:hint="eastAsia"/>
          <w:sz w:val="28"/>
          <w:szCs w:val="28"/>
        </w:rPr>
        <w:t>（见表2）</w:t>
      </w:r>
      <w:r w:rsidR="00775280">
        <w:rPr>
          <w:rFonts w:ascii="仿宋" w:eastAsia="仿宋" w:hAnsi="仿宋" w:hint="eastAsia"/>
          <w:sz w:val="28"/>
          <w:szCs w:val="28"/>
        </w:rPr>
        <w:t>。</w:t>
      </w:r>
    </w:p>
    <w:p w:rsidR="008E6BD5" w:rsidRPr="00E408AE" w:rsidRDefault="008E6BD5" w:rsidP="00C7457A">
      <w:pPr>
        <w:spacing w:beforeLines="50" w:afterLines="50"/>
        <w:jc w:val="center"/>
        <w:rPr>
          <w:rFonts w:ascii="黑体" w:eastAsia="黑体" w:hAnsi="黑体"/>
          <w:bCs/>
          <w:sz w:val="24"/>
          <w:szCs w:val="24"/>
        </w:rPr>
      </w:pPr>
      <w:r w:rsidRPr="00520962">
        <w:rPr>
          <w:rStyle w:val="a5"/>
          <w:rFonts w:ascii="黑体" w:eastAsia="黑体" w:hAnsi="黑体" w:hint="eastAsia"/>
          <w:b w:val="0"/>
          <w:sz w:val="24"/>
          <w:szCs w:val="24"/>
        </w:rPr>
        <w:t>表2</w:t>
      </w:r>
      <w:r>
        <w:rPr>
          <w:rStyle w:val="a5"/>
          <w:rFonts w:ascii="黑体" w:eastAsia="黑体" w:hAnsi="黑体" w:hint="eastAsia"/>
          <w:b w:val="0"/>
          <w:sz w:val="24"/>
          <w:szCs w:val="24"/>
        </w:rPr>
        <w:t xml:space="preserve">   </w:t>
      </w:r>
      <w:proofErr w:type="gramStart"/>
      <w:r w:rsidRPr="00520962">
        <w:rPr>
          <w:rStyle w:val="a5"/>
          <w:rFonts w:ascii="黑体" w:eastAsia="黑体" w:hAnsi="黑体" w:hint="eastAsia"/>
          <w:b w:val="0"/>
          <w:sz w:val="24"/>
          <w:szCs w:val="24"/>
        </w:rPr>
        <w:t>各委托</w:t>
      </w:r>
      <w:proofErr w:type="gramEnd"/>
      <w:r w:rsidRPr="00520962">
        <w:rPr>
          <w:rStyle w:val="a5"/>
          <w:rFonts w:ascii="黑体" w:eastAsia="黑体" w:hAnsi="黑体" w:hint="eastAsia"/>
          <w:b w:val="0"/>
          <w:sz w:val="24"/>
          <w:szCs w:val="24"/>
        </w:rPr>
        <w:t>成交额增长对比表</w:t>
      </w:r>
      <w:r>
        <w:rPr>
          <w:rStyle w:val="a5"/>
          <w:rFonts w:ascii="黑体" w:eastAsia="黑体" w:hAnsi="黑体" w:hint="eastAsia"/>
          <w:b w:val="0"/>
          <w:sz w:val="24"/>
          <w:szCs w:val="24"/>
        </w:rPr>
        <w:t xml:space="preserve">     </w:t>
      </w:r>
      <w:r w:rsidRPr="00520962">
        <w:rPr>
          <w:rStyle w:val="a5"/>
          <w:rFonts w:ascii="黑体" w:eastAsia="黑体" w:hAnsi="黑体" w:hint="eastAsia"/>
          <w:b w:val="0"/>
          <w:sz w:val="24"/>
          <w:szCs w:val="24"/>
        </w:rPr>
        <w:t>（单位：万元）</w:t>
      </w:r>
      <w:bookmarkStart w:id="0" w:name="OLE_LINK3"/>
      <w:bookmarkStart w:id="1" w:name="OLE_LINK4"/>
      <w:bookmarkEnd w:id="0"/>
      <w:bookmarkEnd w:id="1"/>
    </w:p>
    <w:tbl>
      <w:tblPr>
        <w:tblStyle w:val="3-1"/>
        <w:tblW w:w="7953" w:type="dxa"/>
        <w:jc w:val="center"/>
        <w:tblLook w:val="04A0"/>
      </w:tblPr>
      <w:tblGrid>
        <w:gridCol w:w="2518"/>
        <w:gridCol w:w="1985"/>
        <w:gridCol w:w="1984"/>
        <w:gridCol w:w="1466"/>
      </w:tblGrid>
      <w:tr w:rsidR="008E6BD5" w:rsidRPr="00B62CC0" w:rsidTr="00A408D6">
        <w:trPr>
          <w:cnfStyle w:val="100000000000"/>
          <w:trHeight w:val="495"/>
          <w:jc w:val="center"/>
        </w:trPr>
        <w:tc>
          <w:tcPr>
            <w:cnfStyle w:val="001000000000"/>
            <w:tcW w:w="2518" w:type="dxa"/>
            <w:vAlign w:val="center"/>
            <w:hideMark/>
          </w:tcPr>
          <w:p w:rsidR="008E6BD5" w:rsidRPr="00B62CC0" w:rsidRDefault="008E6BD5" w:rsidP="008E6BD5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各委托人</w:t>
            </w:r>
          </w:p>
        </w:tc>
        <w:tc>
          <w:tcPr>
            <w:tcW w:w="1985" w:type="dxa"/>
            <w:vAlign w:val="center"/>
            <w:hideMark/>
          </w:tcPr>
          <w:p w:rsidR="008E6BD5" w:rsidRPr="00B62CC0" w:rsidRDefault="00A408D6" w:rsidP="008E6BD5">
            <w:pPr>
              <w:widowControl/>
              <w:jc w:val="center"/>
              <w:cnfStyle w:val="100000000000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</w:t>
            </w:r>
            <w:r w:rsidR="008E6BD5" w:rsidRPr="00B62C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年上半年</w:t>
            </w:r>
          </w:p>
        </w:tc>
        <w:tc>
          <w:tcPr>
            <w:tcW w:w="1984" w:type="dxa"/>
            <w:vAlign w:val="center"/>
            <w:hideMark/>
          </w:tcPr>
          <w:p w:rsidR="008E6BD5" w:rsidRPr="00B62CC0" w:rsidRDefault="00A408D6" w:rsidP="008E6BD5">
            <w:pPr>
              <w:widowControl/>
              <w:jc w:val="center"/>
              <w:cnfStyle w:val="100000000000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 w:rsidR="008E6BD5" w:rsidRPr="00B62C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年上半年</w:t>
            </w:r>
          </w:p>
        </w:tc>
        <w:tc>
          <w:tcPr>
            <w:tcW w:w="1466" w:type="dxa"/>
            <w:vAlign w:val="center"/>
            <w:hideMark/>
          </w:tcPr>
          <w:p w:rsidR="008E6BD5" w:rsidRPr="00B62CC0" w:rsidRDefault="008E6BD5" w:rsidP="008E6BD5">
            <w:pPr>
              <w:widowControl/>
              <w:jc w:val="center"/>
              <w:cnfStyle w:val="100000000000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62CC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同比增长率（%）</w:t>
            </w:r>
          </w:p>
        </w:tc>
      </w:tr>
      <w:tr w:rsidR="00A408D6" w:rsidRPr="00B62CC0" w:rsidTr="008E6BD5">
        <w:trPr>
          <w:cnfStyle w:val="000000100000"/>
          <w:trHeight w:val="605"/>
          <w:jc w:val="center"/>
        </w:trPr>
        <w:tc>
          <w:tcPr>
            <w:cnfStyle w:val="001000000000"/>
            <w:tcW w:w="2518" w:type="dxa"/>
            <w:vAlign w:val="center"/>
            <w:hideMark/>
          </w:tcPr>
          <w:p w:rsidR="00A408D6" w:rsidRDefault="00A408D6" w:rsidP="008E6BD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</w:rPr>
              <w:t>法院委托拍卖</w:t>
            </w:r>
          </w:p>
        </w:tc>
        <w:tc>
          <w:tcPr>
            <w:tcW w:w="1985" w:type="dxa"/>
            <w:vAlign w:val="center"/>
            <w:hideMark/>
          </w:tcPr>
          <w:p w:rsidR="00A408D6" w:rsidRDefault="00A408D6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2451807.98</w:t>
            </w:r>
          </w:p>
        </w:tc>
        <w:tc>
          <w:tcPr>
            <w:tcW w:w="1984" w:type="dxa"/>
            <w:vAlign w:val="center"/>
            <w:hideMark/>
          </w:tcPr>
          <w:p w:rsidR="00A408D6" w:rsidRDefault="00A408D6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1600961.76</w:t>
            </w:r>
          </w:p>
        </w:tc>
        <w:tc>
          <w:tcPr>
            <w:tcW w:w="1466" w:type="dxa"/>
            <w:vAlign w:val="center"/>
            <w:hideMark/>
          </w:tcPr>
          <w:p w:rsidR="00A408D6" w:rsidRDefault="00A408D6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53.15</w:t>
            </w:r>
          </w:p>
        </w:tc>
      </w:tr>
      <w:tr w:rsidR="00A408D6" w:rsidRPr="00B62CC0" w:rsidTr="008E6BD5">
        <w:trPr>
          <w:trHeight w:val="559"/>
          <w:jc w:val="center"/>
        </w:trPr>
        <w:tc>
          <w:tcPr>
            <w:cnfStyle w:val="001000000000"/>
            <w:tcW w:w="2518" w:type="dxa"/>
            <w:vAlign w:val="center"/>
            <w:hideMark/>
          </w:tcPr>
          <w:p w:rsidR="00A408D6" w:rsidRDefault="00A408D6" w:rsidP="008E6BD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</w:rPr>
              <w:t>政府部门委托拍卖</w:t>
            </w:r>
          </w:p>
        </w:tc>
        <w:tc>
          <w:tcPr>
            <w:tcW w:w="1985" w:type="dxa"/>
            <w:vAlign w:val="center"/>
            <w:hideMark/>
          </w:tcPr>
          <w:p w:rsidR="00A408D6" w:rsidRDefault="00A408D6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22047454.2</w:t>
            </w:r>
          </w:p>
        </w:tc>
        <w:tc>
          <w:tcPr>
            <w:tcW w:w="1984" w:type="dxa"/>
            <w:vAlign w:val="center"/>
            <w:hideMark/>
          </w:tcPr>
          <w:p w:rsidR="00A408D6" w:rsidRDefault="00A408D6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19523751.4</w:t>
            </w:r>
          </w:p>
        </w:tc>
        <w:tc>
          <w:tcPr>
            <w:tcW w:w="1466" w:type="dxa"/>
            <w:vAlign w:val="center"/>
            <w:hideMark/>
          </w:tcPr>
          <w:p w:rsidR="00A408D6" w:rsidRDefault="00A408D6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12.93</w:t>
            </w:r>
          </w:p>
        </w:tc>
      </w:tr>
      <w:tr w:rsidR="00A408D6" w:rsidRPr="00B62CC0" w:rsidTr="008E6BD5">
        <w:trPr>
          <w:cnfStyle w:val="000000100000"/>
          <w:trHeight w:val="526"/>
          <w:jc w:val="center"/>
        </w:trPr>
        <w:tc>
          <w:tcPr>
            <w:cnfStyle w:val="001000000000"/>
            <w:tcW w:w="2518" w:type="dxa"/>
            <w:vAlign w:val="center"/>
            <w:hideMark/>
          </w:tcPr>
          <w:p w:rsidR="00A408D6" w:rsidRDefault="00A408D6" w:rsidP="008E6BD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</w:rPr>
              <w:t>金融机构委托拍卖</w:t>
            </w:r>
          </w:p>
        </w:tc>
        <w:tc>
          <w:tcPr>
            <w:tcW w:w="1985" w:type="dxa"/>
            <w:vAlign w:val="center"/>
            <w:hideMark/>
          </w:tcPr>
          <w:p w:rsidR="00A408D6" w:rsidRDefault="00A408D6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1885970.43</w:t>
            </w:r>
          </w:p>
        </w:tc>
        <w:tc>
          <w:tcPr>
            <w:tcW w:w="1984" w:type="dxa"/>
            <w:vAlign w:val="center"/>
            <w:hideMark/>
          </w:tcPr>
          <w:p w:rsidR="00A408D6" w:rsidRDefault="00A408D6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2341253.12</w:t>
            </w:r>
          </w:p>
        </w:tc>
        <w:tc>
          <w:tcPr>
            <w:tcW w:w="1466" w:type="dxa"/>
            <w:vAlign w:val="center"/>
            <w:hideMark/>
          </w:tcPr>
          <w:p w:rsidR="00A408D6" w:rsidRDefault="00A408D6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-19.45</w:t>
            </w:r>
          </w:p>
        </w:tc>
      </w:tr>
      <w:tr w:rsidR="00A408D6" w:rsidRPr="00B62CC0" w:rsidTr="008E6BD5">
        <w:trPr>
          <w:trHeight w:val="559"/>
          <w:jc w:val="center"/>
        </w:trPr>
        <w:tc>
          <w:tcPr>
            <w:cnfStyle w:val="001000000000"/>
            <w:tcW w:w="2518" w:type="dxa"/>
            <w:vAlign w:val="center"/>
            <w:hideMark/>
          </w:tcPr>
          <w:p w:rsidR="00A408D6" w:rsidRDefault="00A408D6" w:rsidP="008E6BD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</w:rPr>
              <w:t>破产清算组委托拍卖</w:t>
            </w:r>
          </w:p>
        </w:tc>
        <w:tc>
          <w:tcPr>
            <w:tcW w:w="1985" w:type="dxa"/>
            <w:vAlign w:val="center"/>
            <w:hideMark/>
          </w:tcPr>
          <w:p w:rsidR="00A408D6" w:rsidRDefault="00A408D6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636823.176</w:t>
            </w:r>
          </w:p>
        </w:tc>
        <w:tc>
          <w:tcPr>
            <w:tcW w:w="1984" w:type="dxa"/>
            <w:vAlign w:val="center"/>
            <w:hideMark/>
          </w:tcPr>
          <w:p w:rsidR="00A408D6" w:rsidRDefault="00A408D6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336906.97</w:t>
            </w:r>
          </w:p>
        </w:tc>
        <w:tc>
          <w:tcPr>
            <w:tcW w:w="1466" w:type="dxa"/>
            <w:vAlign w:val="center"/>
            <w:hideMark/>
          </w:tcPr>
          <w:p w:rsidR="00A408D6" w:rsidRDefault="00A408D6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89.02</w:t>
            </w:r>
          </w:p>
        </w:tc>
      </w:tr>
      <w:tr w:rsidR="00A408D6" w:rsidRPr="00B62CC0" w:rsidTr="008E6BD5">
        <w:trPr>
          <w:cnfStyle w:val="000000100000"/>
          <w:trHeight w:val="497"/>
          <w:jc w:val="center"/>
        </w:trPr>
        <w:tc>
          <w:tcPr>
            <w:cnfStyle w:val="001000000000"/>
            <w:tcW w:w="2518" w:type="dxa"/>
            <w:vAlign w:val="center"/>
            <w:hideMark/>
          </w:tcPr>
          <w:p w:rsidR="00A408D6" w:rsidRDefault="00A408D6" w:rsidP="008E6BD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</w:rPr>
              <w:t>其他机构委托拍卖</w:t>
            </w:r>
          </w:p>
        </w:tc>
        <w:tc>
          <w:tcPr>
            <w:tcW w:w="1985" w:type="dxa"/>
            <w:vAlign w:val="center"/>
            <w:hideMark/>
          </w:tcPr>
          <w:p w:rsidR="00A408D6" w:rsidRDefault="00A408D6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7721146.97</w:t>
            </w:r>
          </w:p>
        </w:tc>
        <w:tc>
          <w:tcPr>
            <w:tcW w:w="1984" w:type="dxa"/>
            <w:vAlign w:val="center"/>
            <w:hideMark/>
          </w:tcPr>
          <w:p w:rsidR="00A408D6" w:rsidRDefault="00A408D6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4812563.57</w:t>
            </w:r>
          </w:p>
        </w:tc>
        <w:tc>
          <w:tcPr>
            <w:tcW w:w="1466" w:type="dxa"/>
            <w:vAlign w:val="center"/>
            <w:hideMark/>
          </w:tcPr>
          <w:p w:rsidR="00A408D6" w:rsidRDefault="00A408D6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60.44</w:t>
            </w:r>
          </w:p>
        </w:tc>
      </w:tr>
      <w:tr w:rsidR="00A408D6" w:rsidRPr="00B62CC0" w:rsidTr="008E6BD5">
        <w:trPr>
          <w:trHeight w:val="548"/>
          <w:jc w:val="center"/>
        </w:trPr>
        <w:tc>
          <w:tcPr>
            <w:cnfStyle w:val="001000000000"/>
            <w:tcW w:w="2518" w:type="dxa"/>
            <w:vAlign w:val="center"/>
            <w:hideMark/>
          </w:tcPr>
          <w:p w:rsidR="00A408D6" w:rsidRDefault="00A408D6" w:rsidP="008E6BD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b w:val="0"/>
                <w:bCs w:val="0"/>
                <w:color w:val="000000"/>
                <w:sz w:val="22"/>
              </w:rPr>
              <w:t>个人委托拍卖</w:t>
            </w:r>
          </w:p>
        </w:tc>
        <w:tc>
          <w:tcPr>
            <w:tcW w:w="1985" w:type="dxa"/>
            <w:vAlign w:val="center"/>
            <w:hideMark/>
          </w:tcPr>
          <w:p w:rsidR="00A408D6" w:rsidRDefault="00A408D6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1029140.6</w:t>
            </w:r>
          </w:p>
        </w:tc>
        <w:tc>
          <w:tcPr>
            <w:tcW w:w="1984" w:type="dxa"/>
            <w:vAlign w:val="center"/>
            <w:hideMark/>
          </w:tcPr>
          <w:p w:rsidR="00A408D6" w:rsidRDefault="00A408D6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353916.697</w:t>
            </w:r>
          </w:p>
        </w:tc>
        <w:tc>
          <w:tcPr>
            <w:tcW w:w="1466" w:type="dxa"/>
            <w:vAlign w:val="center"/>
            <w:hideMark/>
          </w:tcPr>
          <w:p w:rsidR="00A408D6" w:rsidRDefault="00A408D6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190.79</w:t>
            </w:r>
          </w:p>
        </w:tc>
      </w:tr>
      <w:tr w:rsidR="00A408D6" w:rsidRPr="00B62CC0" w:rsidTr="008E6BD5">
        <w:trPr>
          <w:cnfStyle w:val="000000100000"/>
          <w:trHeight w:val="544"/>
          <w:jc w:val="center"/>
        </w:trPr>
        <w:tc>
          <w:tcPr>
            <w:cnfStyle w:val="001000000000"/>
            <w:tcW w:w="2518" w:type="dxa"/>
            <w:vAlign w:val="center"/>
            <w:hideMark/>
          </w:tcPr>
          <w:p w:rsidR="00A408D6" w:rsidRPr="00B62CC0" w:rsidRDefault="00A408D6" w:rsidP="008E6BD5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985" w:type="dxa"/>
            <w:vAlign w:val="center"/>
            <w:hideMark/>
          </w:tcPr>
          <w:p w:rsidR="00A408D6" w:rsidRDefault="00A408D6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35772343.4</w:t>
            </w:r>
          </w:p>
        </w:tc>
        <w:tc>
          <w:tcPr>
            <w:tcW w:w="1984" w:type="dxa"/>
            <w:vAlign w:val="center"/>
            <w:hideMark/>
          </w:tcPr>
          <w:p w:rsidR="00A408D6" w:rsidRDefault="00A408D6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28969353.5</w:t>
            </w:r>
          </w:p>
        </w:tc>
        <w:tc>
          <w:tcPr>
            <w:tcW w:w="1466" w:type="dxa"/>
            <w:vAlign w:val="center"/>
            <w:hideMark/>
          </w:tcPr>
          <w:p w:rsidR="00A408D6" w:rsidRDefault="00A408D6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23.48</w:t>
            </w:r>
          </w:p>
        </w:tc>
      </w:tr>
    </w:tbl>
    <w:p w:rsidR="008C0272" w:rsidRPr="00CE45D7" w:rsidRDefault="008C0272" w:rsidP="00CE45D7">
      <w:pPr>
        <w:ind w:firstLineChars="200" w:firstLine="420"/>
        <w:rPr>
          <w:rFonts w:ascii="仿宋" w:eastAsia="仿宋" w:hAnsi="仿宋"/>
          <w:szCs w:val="21"/>
        </w:rPr>
      </w:pPr>
    </w:p>
    <w:p w:rsidR="002D7773" w:rsidRPr="00F412F8" w:rsidRDefault="008C0272" w:rsidP="002D777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总的来</w:t>
      </w:r>
      <w:r w:rsidR="002D7773" w:rsidRPr="00EA75B2">
        <w:rPr>
          <w:rFonts w:ascii="仿宋" w:eastAsia="仿宋" w:hAnsi="仿宋" w:hint="eastAsia"/>
          <w:sz w:val="28"/>
          <w:szCs w:val="28"/>
        </w:rPr>
        <w:t>看，上半年</w:t>
      </w:r>
      <w:r w:rsidR="009E0A30">
        <w:rPr>
          <w:rFonts w:ascii="仿宋" w:eastAsia="仿宋" w:hAnsi="仿宋" w:hint="eastAsia"/>
          <w:sz w:val="28"/>
          <w:szCs w:val="28"/>
        </w:rPr>
        <w:t>政府</w:t>
      </w:r>
      <w:r>
        <w:rPr>
          <w:rFonts w:ascii="仿宋" w:eastAsia="仿宋" w:hAnsi="仿宋" w:hint="eastAsia"/>
          <w:sz w:val="28"/>
          <w:szCs w:val="28"/>
        </w:rPr>
        <w:t>委托</w:t>
      </w:r>
      <w:r w:rsidR="00DB12C2">
        <w:rPr>
          <w:rFonts w:ascii="仿宋" w:eastAsia="仿宋" w:hAnsi="仿宋" w:hint="eastAsia"/>
          <w:sz w:val="28"/>
          <w:szCs w:val="28"/>
        </w:rPr>
        <w:t>和</w:t>
      </w:r>
      <w:r w:rsidR="009E0A30">
        <w:rPr>
          <w:rFonts w:ascii="仿宋" w:eastAsia="仿宋" w:hAnsi="仿宋" w:hint="eastAsia"/>
          <w:sz w:val="28"/>
          <w:szCs w:val="28"/>
        </w:rPr>
        <w:t>法院</w:t>
      </w:r>
      <w:r w:rsidR="002D7773">
        <w:rPr>
          <w:rFonts w:ascii="仿宋" w:eastAsia="仿宋" w:hAnsi="仿宋" w:hint="eastAsia"/>
          <w:sz w:val="28"/>
          <w:szCs w:val="28"/>
        </w:rPr>
        <w:t>委托业务</w:t>
      </w:r>
      <w:r w:rsidR="00D071C2">
        <w:rPr>
          <w:rFonts w:ascii="仿宋" w:eastAsia="仿宋" w:hAnsi="仿宋" w:hint="eastAsia"/>
          <w:sz w:val="28"/>
          <w:szCs w:val="28"/>
        </w:rPr>
        <w:t>增长的绝</w:t>
      </w:r>
      <w:r>
        <w:rPr>
          <w:rFonts w:ascii="仿宋" w:eastAsia="仿宋" w:hAnsi="仿宋" w:hint="eastAsia"/>
          <w:sz w:val="28"/>
          <w:szCs w:val="28"/>
        </w:rPr>
        <w:t>对值较大</w:t>
      </w:r>
      <w:r w:rsidR="00DB12C2">
        <w:rPr>
          <w:rFonts w:ascii="仿宋" w:eastAsia="仿宋" w:hAnsi="仿宋" w:hint="eastAsia"/>
          <w:sz w:val="28"/>
          <w:szCs w:val="28"/>
        </w:rPr>
        <w:t>，</w:t>
      </w:r>
      <w:r w:rsidR="009E0A30">
        <w:rPr>
          <w:rFonts w:ascii="仿宋" w:eastAsia="仿宋" w:hAnsi="仿宋" w:hint="eastAsia"/>
          <w:sz w:val="28"/>
          <w:szCs w:val="28"/>
        </w:rPr>
        <w:t>增长率较高</w:t>
      </w:r>
      <w:r w:rsidR="00DB12C2">
        <w:rPr>
          <w:rFonts w:ascii="仿宋" w:eastAsia="仿宋" w:hAnsi="仿宋" w:hint="eastAsia"/>
          <w:sz w:val="28"/>
          <w:szCs w:val="28"/>
        </w:rPr>
        <w:t>，对行业整体成交额</w:t>
      </w:r>
      <w:r w:rsidR="0091099E">
        <w:rPr>
          <w:rFonts w:ascii="仿宋" w:eastAsia="仿宋" w:hAnsi="仿宋" w:hint="eastAsia"/>
          <w:sz w:val="28"/>
          <w:szCs w:val="28"/>
        </w:rPr>
        <w:t>的提升带动作用明显</w:t>
      </w:r>
      <w:r w:rsidR="009E0A30">
        <w:rPr>
          <w:rFonts w:ascii="仿宋" w:eastAsia="仿宋" w:hAnsi="仿宋" w:hint="eastAsia"/>
          <w:sz w:val="28"/>
          <w:szCs w:val="28"/>
        </w:rPr>
        <w:t>，二者</w:t>
      </w:r>
      <w:r w:rsidR="002D7773" w:rsidRPr="00EA75B2">
        <w:rPr>
          <w:rFonts w:ascii="仿宋" w:eastAsia="仿宋" w:hAnsi="仿宋" w:hint="eastAsia"/>
          <w:sz w:val="28"/>
          <w:szCs w:val="28"/>
        </w:rPr>
        <w:t>委托</w:t>
      </w:r>
      <w:r w:rsidR="00CE3AE1">
        <w:rPr>
          <w:rFonts w:ascii="仿宋" w:eastAsia="仿宋" w:hAnsi="仿宋" w:hint="eastAsia"/>
          <w:sz w:val="28"/>
          <w:szCs w:val="28"/>
        </w:rPr>
        <w:t>拍卖</w:t>
      </w:r>
      <w:r w:rsidR="002D7773" w:rsidRPr="00EA75B2">
        <w:rPr>
          <w:rFonts w:ascii="仿宋" w:eastAsia="仿宋" w:hAnsi="仿宋" w:hint="eastAsia"/>
          <w:sz w:val="28"/>
          <w:szCs w:val="28"/>
        </w:rPr>
        <w:t>成交额</w:t>
      </w:r>
      <w:r w:rsidR="002D7773">
        <w:rPr>
          <w:rFonts w:ascii="仿宋" w:eastAsia="仿宋" w:hAnsi="仿宋" w:hint="eastAsia"/>
          <w:sz w:val="28"/>
          <w:szCs w:val="28"/>
        </w:rPr>
        <w:t>合计</w:t>
      </w:r>
      <w:r w:rsidR="002D7773" w:rsidRPr="00EA75B2">
        <w:rPr>
          <w:rFonts w:ascii="仿宋" w:eastAsia="仿宋" w:hAnsi="仿宋" w:hint="eastAsia"/>
          <w:sz w:val="28"/>
          <w:szCs w:val="28"/>
        </w:rPr>
        <w:t>达</w:t>
      </w:r>
      <w:r w:rsidR="00CE3AE1">
        <w:rPr>
          <w:rFonts w:ascii="仿宋" w:eastAsia="仿宋" w:hAnsi="仿宋" w:hint="eastAsia"/>
          <w:sz w:val="28"/>
          <w:szCs w:val="28"/>
        </w:rPr>
        <w:t>到</w:t>
      </w:r>
      <w:r w:rsidR="009E0A30">
        <w:rPr>
          <w:rFonts w:ascii="仿宋" w:eastAsia="仿宋" w:hAnsi="仿宋" w:hint="eastAsia"/>
          <w:sz w:val="28"/>
          <w:szCs w:val="28"/>
        </w:rPr>
        <w:t>2449.93</w:t>
      </w:r>
      <w:r w:rsidR="002D7773" w:rsidRPr="00EA75B2">
        <w:rPr>
          <w:rFonts w:ascii="仿宋" w:eastAsia="仿宋" w:hAnsi="仿宋" w:hint="eastAsia"/>
          <w:sz w:val="28"/>
          <w:szCs w:val="28"/>
        </w:rPr>
        <w:t>亿元，占上半年总成交额</w:t>
      </w:r>
      <w:r w:rsidR="00CE3AE1">
        <w:rPr>
          <w:rFonts w:ascii="仿宋" w:eastAsia="仿宋" w:hAnsi="仿宋" w:hint="eastAsia"/>
          <w:sz w:val="28"/>
          <w:szCs w:val="28"/>
        </w:rPr>
        <w:t>比重的</w:t>
      </w:r>
      <w:r w:rsidR="009E0A30">
        <w:rPr>
          <w:rFonts w:ascii="仿宋" w:eastAsia="仿宋" w:hAnsi="仿宋" w:hint="eastAsia"/>
          <w:sz w:val="28"/>
          <w:szCs w:val="28"/>
        </w:rPr>
        <w:t>68</w:t>
      </w:r>
      <w:r w:rsidR="00123CA8">
        <w:rPr>
          <w:rFonts w:ascii="仿宋" w:eastAsia="仿宋" w:hAnsi="仿宋" w:hint="eastAsia"/>
          <w:sz w:val="28"/>
          <w:szCs w:val="28"/>
        </w:rPr>
        <w:t>.</w:t>
      </w:r>
      <w:r w:rsidR="009E0A30">
        <w:rPr>
          <w:rFonts w:ascii="仿宋" w:eastAsia="仿宋" w:hAnsi="仿宋" w:hint="eastAsia"/>
          <w:sz w:val="28"/>
          <w:szCs w:val="28"/>
        </w:rPr>
        <w:t>49</w:t>
      </w:r>
      <w:r w:rsidR="002D7773" w:rsidRPr="00EA75B2">
        <w:rPr>
          <w:rFonts w:ascii="仿宋" w:eastAsia="仿宋" w:hAnsi="仿宋" w:hint="eastAsia"/>
          <w:sz w:val="28"/>
          <w:szCs w:val="28"/>
        </w:rPr>
        <w:t>%</w:t>
      </w:r>
      <w:r w:rsidR="002D7773">
        <w:rPr>
          <w:rFonts w:ascii="仿宋" w:eastAsia="仿宋" w:hAnsi="仿宋" w:hint="eastAsia"/>
          <w:sz w:val="28"/>
          <w:szCs w:val="28"/>
        </w:rPr>
        <w:t>，</w:t>
      </w:r>
      <w:r w:rsidR="009E0A30">
        <w:rPr>
          <w:rFonts w:ascii="仿宋" w:eastAsia="仿宋" w:hAnsi="仿宋" w:hint="eastAsia"/>
          <w:sz w:val="28"/>
          <w:szCs w:val="28"/>
        </w:rPr>
        <w:t>较</w:t>
      </w:r>
      <w:r w:rsidR="002D7773">
        <w:rPr>
          <w:rFonts w:ascii="仿宋" w:eastAsia="仿宋" w:hAnsi="仿宋" w:hint="eastAsia"/>
          <w:sz w:val="28"/>
          <w:szCs w:val="28"/>
        </w:rPr>
        <w:t>去年上半年占比</w:t>
      </w:r>
      <w:r w:rsidR="009E0A30">
        <w:rPr>
          <w:rFonts w:ascii="仿宋" w:eastAsia="仿宋" w:hAnsi="仿宋" w:hint="eastAsia"/>
          <w:sz w:val="28"/>
          <w:szCs w:val="28"/>
        </w:rPr>
        <w:t>下降了近4个百分点，表</w:t>
      </w:r>
      <w:r w:rsidR="00CE3AE1">
        <w:rPr>
          <w:rFonts w:ascii="仿宋" w:eastAsia="仿宋" w:hAnsi="仿宋" w:hint="eastAsia"/>
          <w:sz w:val="28"/>
          <w:szCs w:val="28"/>
        </w:rPr>
        <w:t>明上半年</w:t>
      </w:r>
      <w:r w:rsidR="002D7773" w:rsidRPr="00EA75B2">
        <w:rPr>
          <w:rFonts w:ascii="仿宋" w:eastAsia="仿宋" w:hAnsi="仿宋" w:hint="eastAsia"/>
          <w:sz w:val="28"/>
          <w:szCs w:val="28"/>
        </w:rPr>
        <w:t>行业经营</w:t>
      </w:r>
      <w:r w:rsidR="00CE3AE1">
        <w:rPr>
          <w:rFonts w:ascii="仿宋" w:eastAsia="仿宋" w:hAnsi="仿宋" w:hint="eastAsia"/>
          <w:sz w:val="28"/>
          <w:szCs w:val="28"/>
        </w:rPr>
        <w:t>主体</w:t>
      </w:r>
      <w:r w:rsidR="002D7773" w:rsidRPr="00EA75B2">
        <w:rPr>
          <w:rFonts w:ascii="仿宋" w:eastAsia="仿宋" w:hAnsi="仿宋" w:hint="eastAsia"/>
          <w:sz w:val="28"/>
          <w:szCs w:val="28"/>
        </w:rPr>
        <w:t>结构</w:t>
      </w:r>
      <w:r w:rsidR="00CE3AE1">
        <w:rPr>
          <w:rFonts w:ascii="仿宋" w:eastAsia="仿宋" w:hAnsi="仿宋" w:hint="eastAsia"/>
          <w:sz w:val="28"/>
          <w:szCs w:val="28"/>
        </w:rPr>
        <w:t>基本稳定</w:t>
      </w:r>
      <w:r w:rsidR="009E0A30">
        <w:rPr>
          <w:rFonts w:ascii="仿宋" w:eastAsia="仿宋" w:hAnsi="仿宋" w:hint="eastAsia"/>
          <w:sz w:val="28"/>
          <w:szCs w:val="28"/>
        </w:rPr>
        <w:t>，</w:t>
      </w:r>
      <w:r w:rsidR="00C7457A">
        <w:rPr>
          <w:rFonts w:ascii="仿宋" w:eastAsia="仿宋" w:hAnsi="仿宋" w:hint="eastAsia"/>
          <w:sz w:val="28"/>
          <w:szCs w:val="28"/>
        </w:rPr>
        <w:t>但</w:t>
      </w:r>
      <w:r w:rsidR="009E0A30">
        <w:rPr>
          <w:rFonts w:ascii="仿宋" w:eastAsia="仿宋" w:hAnsi="仿宋" w:hint="eastAsia"/>
          <w:sz w:val="28"/>
          <w:szCs w:val="28"/>
        </w:rPr>
        <w:t>结构</w:t>
      </w:r>
      <w:r w:rsidR="00C7457A">
        <w:rPr>
          <w:rFonts w:ascii="仿宋" w:eastAsia="仿宋" w:hAnsi="仿宋" w:hint="eastAsia"/>
          <w:sz w:val="28"/>
          <w:szCs w:val="28"/>
        </w:rPr>
        <w:t>性</w:t>
      </w:r>
      <w:r w:rsidR="009E0A30">
        <w:rPr>
          <w:rFonts w:ascii="仿宋" w:eastAsia="仿宋" w:hAnsi="仿宋" w:hint="eastAsia"/>
          <w:sz w:val="28"/>
          <w:szCs w:val="28"/>
        </w:rPr>
        <w:t>调整</w:t>
      </w:r>
      <w:r w:rsidR="00C7457A">
        <w:rPr>
          <w:rFonts w:ascii="仿宋" w:eastAsia="仿宋" w:hAnsi="仿宋" w:hint="eastAsia"/>
          <w:sz w:val="28"/>
          <w:szCs w:val="28"/>
        </w:rPr>
        <w:t>仍在继续</w:t>
      </w:r>
      <w:r w:rsidR="00123CA8">
        <w:rPr>
          <w:rFonts w:ascii="仿宋" w:eastAsia="仿宋" w:hAnsi="仿宋" w:hint="eastAsia"/>
          <w:sz w:val="28"/>
          <w:szCs w:val="28"/>
        </w:rPr>
        <w:t>。</w:t>
      </w:r>
      <w:r w:rsidR="009E0A30">
        <w:rPr>
          <w:rFonts w:ascii="仿宋" w:eastAsia="仿宋" w:hAnsi="仿宋" w:hint="eastAsia"/>
          <w:sz w:val="28"/>
          <w:szCs w:val="28"/>
        </w:rPr>
        <w:t>上半年</w:t>
      </w:r>
      <w:r w:rsidR="00786C5D">
        <w:rPr>
          <w:rFonts w:ascii="仿宋" w:eastAsia="仿宋" w:hAnsi="仿宋" w:hint="eastAsia"/>
          <w:sz w:val="28"/>
          <w:szCs w:val="28"/>
        </w:rPr>
        <w:t>，</w:t>
      </w:r>
      <w:r w:rsidR="009E0A30">
        <w:rPr>
          <w:rFonts w:ascii="仿宋" w:eastAsia="仿宋" w:hAnsi="仿宋" w:hint="eastAsia"/>
          <w:sz w:val="28"/>
          <w:szCs w:val="28"/>
        </w:rPr>
        <w:t>在委托</w:t>
      </w:r>
      <w:proofErr w:type="gramStart"/>
      <w:r w:rsidR="009E0A30">
        <w:rPr>
          <w:rFonts w:ascii="仿宋" w:eastAsia="仿宋" w:hAnsi="仿宋" w:hint="eastAsia"/>
          <w:sz w:val="28"/>
          <w:szCs w:val="28"/>
        </w:rPr>
        <w:t>方业务</w:t>
      </w:r>
      <w:proofErr w:type="gramEnd"/>
      <w:r w:rsidR="009E0A30">
        <w:rPr>
          <w:rFonts w:ascii="仿宋" w:eastAsia="仿宋" w:hAnsi="仿宋" w:hint="eastAsia"/>
          <w:sz w:val="28"/>
          <w:szCs w:val="28"/>
        </w:rPr>
        <w:t>结构中</w:t>
      </w:r>
      <w:r w:rsidR="00786C5D">
        <w:rPr>
          <w:rFonts w:ascii="仿宋" w:eastAsia="仿宋" w:hAnsi="仿宋" w:hint="eastAsia"/>
          <w:sz w:val="28"/>
          <w:szCs w:val="28"/>
        </w:rPr>
        <w:t>，</w:t>
      </w:r>
      <w:r w:rsidR="00786C5D">
        <w:rPr>
          <w:rFonts w:ascii="仿宋" w:eastAsia="仿宋" w:hAnsi="仿宋" w:hint="eastAsia"/>
          <w:sz w:val="28"/>
          <w:szCs w:val="28"/>
        </w:rPr>
        <w:lastRenderedPageBreak/>
        <w:t>其他机构和个人委托拍</w:t>
      </w:r>
      <w:r w:rsidR="00A06147">
        <w:rPr>
          <w:rFonts w:ascii="仿宋" w:eastAsia="仿宋" w:hAnsi="仿宋" w:hint="eastAsia"/>
          <w:sz w:val="28"/>
          <w:szCs w:val="28"/>
        </w:rPr>
        <w:t>卖成交额均出现</w:t>
      </w:r>
      <w:r w:rsidR="00786C5D">
        <w:rPr>
          <w:rFonts w:ascii="仿宋" w:eastAsia="仿宋" w:hAnsi="仿宋" w:hint="eastAsia"/>
          <w:sz w:val="28"/>
          <w:szCs w:val="28"/>
        </w:rPr>
        <w:t>大幅增长，</w:t>
      </w:r>
      <w:r w:rsidR="001C1750">
        <w:rPr>
          <w:rFonts w:ascii="仿宋" w:eastAsia="仿宋" w:hAnsi="仿宋" w:hint="eastAsia"/>
          <w:sz w:val="28"/>
          <w:szCs w:val="28"/>
        </w:rPr>
        <w:t>剔除艺术品板块个人委托拍卖增长的因素，两类委托的大幅增长在一定程度上体现了市场化</w:t>
      </w:r>
      <w:r w:rsidR="00786C5D">
        <w:rPr>
          <w:rFonts w:ascii="仿宋" w:eastAsia="仿宋" w:hAnsi="仿宋" w:hint="eastAsia"/>
          <w:sz w:val="28"/>
          <w:szCs w:val="28"/>
        </w:rPr>
        <w:t>业务领域</w:t>
      </w:r>
      <w:r w:rsidR="001C1750">
        <w:rPr>
          <w:rFonts w:ascii="仿宋" w:eastAsia="仿宋" w:hAnsi="仿宋" w:hint="eastAsia"/>
          <w:sz w:val="28"/>
          <w:szCs w:val="28"/>
        </w:rPr>
        <w:t>的积极、持续拓展</w:t>
      </w:r>
      <w:r w:rsidR="00786C5D">
        <w:rPr>
          <w:rFonts w:ascii="仿宋" w:eastAsia="仿宋" w:hAnsi="仿宋" w:hint="eastAsia"/>
          <w:sz w:val="28"/>
          <w:szCs w:val="28"/>
        </w:rPr>
        <w:t>，</w:t>
      </w:r>
      <w:r w:rsidR="001C1750">
        <w:rPr>
          <w:rFonts w:ascii="仿宋" w:eastAsia="仿宋" w:hAnsi="仿宋" w:hint="eastAsia"/>
          <w:sz w:val="28"/>
          <w:szCs w:val="28"/>
        </w:rPr>
        <w:t>同时，不排除</w:t>
      </w:r>
      <w:r w:rsidR="00786C5D">
        <w:rPr>
          <w:rFonts w:ascii="仿宋" w:eastAsia="仿宋" w:hAnsi="仿宋" w:hint="eastAsia"/>
          <w:sz w:val="28"/>
          <w:szCs w:val="28"/>
        </w:rPr>
        <w:t>其他类</w:t>
      </w:r>
      <w:r w:rsidR="001C1750">
        <w:rPr>
          <w:rFonts w:ascii="仿宋" w:eastAsia="仿宋" w:hAnsi="仿宋" w:hint="eastAsia"/>
          <w:sz w:val="28"/>
          <w:szCs w:val="28"/>
        </w:rPr>
        <w:t>型</w:t>
      </w:r>
      <w:r w:rsidR="00786C5D">
        <w:rPr>
          <w:rFonts w:ascii="仿宋" w:eastAsia="仿宋" w:hAnsi="仿宋" w:hint="eastAsia"/>
          <w:sz w:val="28"/>
          <w:szCs w:val="28"/>
        </w:rPr>
        <w:t>社会实体</w:t>
      </w:r>
      <w:r w:rsidR="001C1750">
        <w:rPr>
          <w:rFonts w:ascii="仿宋" w:eastAsia="仿宋" w:hAnsi="仿宋" w:hint="eastAsia"/>
          <w:sz w:val="28"/>
          <w:szCs w:val="28"/>
        </w:rPr>
        <w:t>进入行业，</w:t>
      </w:r>
      <w:r w:rsidR="00786C5D">
        <w:rPr>
          <w:rFonts w:ascii="仿宋" w:eastAsia="仿宋" w:hAnsi="仿宋" w:hint="eastAsia"/>
          <w:sz w:val="28"/>
          <w:szCs w:val="28"/>
        </w:rPr>
        <w:t>带来了新型业务等原因。</w:t>
      </w:r>
    </w:p>
    <w:p w:rsidR="002D7773" w:rsidRPr="00BF1E7D" w:rsidRDefault="002D7773" w:rsidP="002D7773">
      <w:pPr>
        <w:pStyle w:val="1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BF1E7D">
        <w:rPr>
          <w:rFonts w:ascii="黑体" w:eastAsia="黑体" w:hAnsi="黑体" w:hint="eastAsia"/>
          <w:sz w:val="32"/>
          <w:szCs w:val="32"/>
        </w:rPr>
        <w:t>、各省市成交情况</w:t>
      </w:r>
    </w:p>
    <w:p w:rsidR="000B47FC" w:rsidRDefault="002D7773" w:rsidP="002D7773">
      <w:pPr>
        <w:pStyle w:val="1"/>
        <w:ind w:leftChars="50" w:left="105" w:firstLineChars="199" w:firstLine="55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上半年，全国31个省（区、市）</w:t>
      </w:r>
      <w:r w:rsidR="00E408AE">
        <w:rPr>
          <w:rFonts w:ascii="仿宋" w:eastAsia="仿宋" w:hAnsi="仿宋" w:hint="eastAsia"/>
          <w:sz w:val="28"/>
          <w:szCs w:val="28"/>
        </w:rPr>
        <w:t>及新疆生产建设兵团</w:t>
      </w:r>
      <w:r w:rsidR="000B47FC">
        <w:rPr>
          <w:rFonts w:ascii="仿宋" w:eastAsia="仿宋" w:hAnsi="仿宋" w:hint="eastAsia"/>
          <w:sz w:val="28"/>
          <w:szCs w:val="28"/>
        </w:rPr>
        <w:t>成交额情况如下：</w:t>
      </w:r>
    </w:p>
    <w:p w:rsidR="002D7773" w:rsidRDefault="002D7773" w:rsidP="002D7773">
      <w:pPr>
        <w:pStyle w:val="1"/>
        <w:ind w:leftChars="50" w:left="105" w:firstLineChars="199" w:firstLine="55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成交额超过200</w:t>
      </w:r>
      <w:r w:rsidR="00E96F1B">
        <w:rPr>
          <w:rFonts w:ascii="仿宋" w:eastAsia="仿宋" w:hAnsi="仿宋" w:hint="eastAsia"/>
          <w:sz w:val="28"/>
          <w:szCs w:val="28"/>
        </w:rPr>
        <w:t>亿元的有6个省</w:t>
      </w:r>
      <w:r w:rsidR="000B47FC">
        <w:rPr>
          <w:rFonts w:ascii="仿宋" w:eastAsia="仿宋" w:hAnsi="仿宋" w:hint="eastAsia"/>
          <w:sz w:val="28"/>
          <w:szCs w:val="28"/>
        </w:rPr>
        <w:t>（市）</w:t>
      </w:r>
      <w:r w:rsidR="00E96F1B">
        <w:rPr>
          <w:rFonts w:ascii="仿宋" w:eastAsia="仿宋" w:hAnsi="仿宋" w:hint="eastAsia"/>
          <w:sz w:val="28"/>
          <w:szCs w:val="28"/>
        </w:rPr>
        <w:t>：</w:t>
      </w:r>
      <w:r w:rsidR="00B044DD">
        <w:rPr>
          <w:rFonts w:ascii="仿宋" w:eastAsia="仿宋" w:hAnsi="仿宋" w:hint="eastAsia"/>
          <w:sz w:val="28"/>
          <w:szCs w:val="28"/>
        </w:rPr>
        <w:t>河北省、</w:t>
      </w:r>
      <w:r w:rsidR="00E96F1B">
        <w:rPr>
          <w:rFonts w:ascii="仿宋" w:eastAsia="仿宋" w:hAnsi="仿宋" w:hint="eastAsia"/>
          <w:sz w:val="28"/>
          <w:szCs w:val="28"/>
        </w:rPr>
        <w:t>安徽省、</w:t>
      </w:r>
      <w:r w:rsidR="00865011">
        <w:rPr>
          <w:rFonts w:ascii="仿宋" w:eastAsia="仿宋" w:hAnsi="仿宋" w:hint="eastAsia"/>
          <w:sz w:val="28"/>
          <w:szCs w:val="28"/>
        </w:rPr>
        <w:t>福建省、四川省</w:t>
      </w:r>
      <w:r w:rsidR="0056340B">
        <w:rPr>
          <w:rFonts w:ascii="仿宋" w:eastAsia="仿宋" w:hAnsi="仿宋" w:hint="eastAsia"/>
          <w:sz w:val="28"/>
          <w:szCs w:val="28"/>
        </w:rPr>
        <w:t>、</w:t>
      </w:r>
      <w:r w:rsidR="00E96F1B">
        <w:rPr>
          <w:rFonts w:ascii="仿宋" w:eastAsia="仿宋" w:hAnsi="仿宋" w:hint="eastAsia"/>
          <w:sz w:val="28"/>
          <w:szCs w:val="28"/>
        </w:rPr>
        <w:t>上海市</w:t>
      </w:r>
      <w:r w:rsidR="0056340B">
        <w:rPr>
          <w:rFonts w:ascii="仿宋" w:eastAsia="仿宋" w:hAnsi="仿宋" w:hint="eastAsia"/>
          <w:sz w:val="28"/>
          <w:szCs w:val="28"/>
        </w:rPr>
        <w:t>和山东省</w:t>
      </w:r>
      <w:r w:rsidR="000B47FC">
        <w:rPr>
          <w:rFonts w:ascii="仿宋" w:eastAsia="仿宋" w:hAnsi="仿宋" w:hint="eastAsia"/>
          <w:sz w:val="28"/>
          <w:szCs w:val="28"/>
        </w:rPr>
        <w:t>；</w:t>
      </w:r>
      <w:r w:rsidR="00E96F1B">
        <w:rPr>
          <w:rFonts w:ascii="仿宋" w:eastAsia="仿宋" w:hAnsi="仿宋" w:hint="eastAsia"/>
          <w:sz w:val="28"/>
          <w:szCs w:val="28"/>
        </w:rPr>
        <w:t>上述6省市拍卖成交共计</w:t>
      </w:r>
      <w:r w:rsidR="0056340B">
        <w:rPr>
          <w:rFonts w:ascii="仿宋" w:eastAsia="仿宋" w:hAnsi="仿宋" w:hint="eastAsia"/>
          <w:sz w:val="28"/>
          <w:szCs w:val="28"/>
        </w:rPr>
        <w:t>2212.27</w:t>
      </w:r>
      <w:r w:rsidR="00E96F1B">
        <w:rPr>
          <w:rFonts w:ascii="仿宋" w:eastAsia="仿宋" w:hAnsi="仿宋" w:hint="eastAsia"/>
          <w:sz w:val="28"/>
          <w:szCs w:val="28"/>
        </w:rPr>
        <w:t>亿元，占比全国总成交额的</w:t>
      </w:r>
      <w:r w:rsidR="0056340B">
        <w:rPr>
          <w:rFonts w:ascii="仿宋" w:eastAsia="仿宋" w:hAnsi="仿宋" w:hint="eastAsia"/>
          <w:sz w:val="28"/>
          <w:szCs w:val="28"/>
        </w:rPr>
        <w:t>61.84</w:t>
      </w:r>
      <w:r w:rsidR="00E96F1B">
        <w:rPr>
          <w:rFonts w:ascii="仿宋" w:eastAsia="仿宋" w:hAnsi="仿宋" w:hint="eastAsia"/>
          <w:sz w:val="28"/>
          <w:szCs w:val="28"/>
        </w:rPr>
        <w:t>%。</w:t>
      </w:r>
      <w:r w:rsidR="00B044DD">
        <w:rPr>
          <w:rFonts w:ascii="仿宋" w:eastAsia="仿宋" w:hAnsi="仿宋" w:hint="eastAsia"/>
          <w:sz w:val="28"/>
          <w:szCs w:val="28"/>
        </w:rPr>
        <w:t>其中，河北省上半年成交额</w:t>
      </w:r>
      <w:r w:rsidR="00E96F1B">
        <w:rPr>
          <w:rFonts w:ascii="仿宋" w:eastAsia="仿宋" w:hAnsi="仿宋" w:hint="eastAsia"/>
          <w:sz w:val="28"/>
          <w:szCs w:val="28"/>
        </w:rPr>
        <w:t>642.88</w:t>
      </w:r>
      <w:r w:rsidR="00B044DD">
        <w:rPr>
          <w:rFonts w:ascii="仿宋" w:eastAsia="仿宋" w:hAnsi="仿宋" w:hint="eastAsia"/>
          <w:sz w:val="28"/>
          <w:szCs w:val="28"/>
        </w:rPr>
        <w:t>亿元，</w:t>
      </w:r>
      <w:r w:rsidR="0056340B">
        <w:rPr>
          <w:rFonts w:ascii="仿宋" w:eastAsia="仿宋" w:hAnsi="仿宋" w:hint="eastAsia"/>
          <w:sz w:val="28"/>
          <w:szCs w:val="28"/>
        </w:rPr>
        <w:t>其</w:t>
      </w:r>
      <w:r>
        <w:rPr>
          <w:rFonts w:ascii="仿宋" w:eastAsia="仿宋" w:hAnsi="仿宋" w:hint="eastAsia"/>
          <w:sz w:val="28"/>
          <w:szCs w:val="28"/>
        </w:rPr>
        <w:t>土地使用权拍卖占</w:t>
      </w:r>
      <w:r w:rsidR="00E76509">
        <w:rPr>
          <w:rFonts w:ascii="仿宋" w:eastAsia="仿宋" w:hAnsi="仿宋" w:hint="eastAsia"/>
          <w:sz w:val="28"/>
          <w:szCs w:val="28"/>
        </w:rPr>
        <w:t>全</w:t>
      </w:r>
      <w:r>
        <w:rPr>
          <w:rFonts w:ascii="仿宋" w:eastAsia="仿宋" w:hAnsi="仿宋" w:hint="eastAsia"/>
          <w:sz w:val="28"/>
          <w:szCs w:val="28"/>
        </w:rPr>
        <w:t>省成交</w:t>
      </w:r>
      <w:r w:rsidR="00E76509">
        <w:rPr>
          <w:rFonts w:ascii="仿宋" w:eastAsia="仿宋" w:hAnsi="仿宋" w:hint="eastAsia"/>
          <w:sz w:val="28"/>
          <w:szCs w:val="28"/>
        </w:rPr>
        <w:t>业务</w:t>
      </w:r>
      <w:r>
        <w:rPr>
          <w:rFonts w:ascii="仿宋" w:eastAsia="仿宋" w:hAnsi="仿宋" w:hint="eastAsia"/>
          <w:sz w:val="28"/>
          <w:szCs w:val="28"/>
        </w:rPr>
        <w:t>总额的</w:t>
      </w:r>
      <w:r w:rsidR="0056340B">
        <w:rPr>
          <w:rFonts w:ascii="仿宋" w:eastAsia="仿宋" w:hAnsi="仿宋" w:hint="eastAsia"/>
          <w:sz w:val="28"/>
          <w:szCs w:val="28"/>
        </w:rPr>
        <w:t>80</w:t>
      </w:r>
      <w:r>
        <w:rPr>
          <w:rFonts w:ascii="仿宋" w:eastAsia="仿宋" w:hAnsi="仿宋" w:hint="eastAsia"/>
          <w:sz w:val="28"/>
          <w:szCs w:val="28"/>
        </w:rPr>
        <w:t>%</w:t>
      </w:r>
      <w:r w:rsidR="0056340B">
        <w:rPr>
          <w:rFonts w:ascii="仿宋" w:eastAsia="仿宋" w:hAnsi="仿宋" w:hint="eastAsia"/>
          <w:sz w:val="28"/>
          <w:szCs w:val="28"/>
        </w:rPr>
        <w:t>以上</w:t>
      </w:r>
      <w:r w:rsidR="00D071C2">
        <w:rPr>
          <w:rFonts w:ascii="仿宋" w:eastAsia="仿宋" w:hAnsi="仿宋" w:hint="eastAsia"/>
          <w:sz w:val="28"/>
          <w:szCs w:val="28"/>
        </w:rPr>
        <w:t>，连续多年蝉联各月、各季全国成交额首位</w:t>
      </w:r>
      <w:r w:rsidR="00E96F1B">
        <w:rPr>
          <w:rFonts w:ascii="仿宋" w:eastAsia="仿宋" w:hAnsi="仿宋" w:hint="eastAsia"/>
          <w:sz w:val="28"/>
          <w:szCs w:val="28"/>
        </w:rPr>
        <w:t>。</w:t>
      </w:r>
    </w:p>
    <w:p w:rsidR="000B47FC" w:rsidRDefault="002D7773" w:rsidP="002D7773">
      <w:pPr>
        <w:pStyle w:val="1"/>
        <w:ind w:leftChars="50" w:left="105" w:firstLineChars="199" w:firstLine="55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成交额在100亿元至200亿元之间的有</w:t>
      </w:r>
      <w:r w:rsidR="000B47FC">
        <w:rPr>
          <w:rFonts w:ascii="仿宋" w:eastAsia="仿宋" w:hAnsi="仿宋" w:hint="eastAsia"/>
          <w:sz w:val="28"/>
          <w:szCs w:val="28"/>
        </w:rPr>
        <w:t>6个（省、市）：</w:t>
      </w:r>
      <w:r>
        <w:rPr>
          <w:rFonts w:ascii="仿宋" w:eastAsia="仿宋" w:hAnsi="仿宋" w:hint="eastAsia"/>
          <w:sz w:val="28"/>
          <w:szCs w:val="28"/>
        </w:rPr>
        <w:t>上海市、</w:t>
      </w:r>
      <w:r w:rsidR="004E1744">
        <w:rPr>
          <w:rFonts w:ascii="仿宋" w:eastAsia="仿宋" w:hAnsi="仿宋" w:hint="eastAsia"/>
          <w:sz w:val="28"/>
          <w:szCs w:val="28"/>
        </w:rPr>
        <w:t>浙江省</w:t>
      </w:r>
      <w:r w:rsidR="00E76509">
        <w:rPr>
          <w:rFonts w:ascii="仿宋" w:eastAsia="仿宋" w:hAnsi="仿宋" w:hint="eastAsia"/>
          <w:sz w:val="28"/>
          <w:szCs w:val="28"/>
        </w:rPr>
        <w:t>、</w:t>
      </w:r>
      <w:r w:rsidR="0056340B">
        <w:rPr>
          <w:rFonts w:ascii="仿宋" w:eastAsia="仿宋" w:hAnsi="仿宋" w:hint="eastAsia"/>
          <w:sz w:val="28"/>
          <w:szCs w:val="28"/>
        </w:rPr>
        <w:t>湖北省、甘肃省、重庆市</w:t>
      </w:r>
      <w:r w:rsidR="004E1744">
        <w:rPr>
          <w:rFonts w:ascii="仿宋" w:eastAsia="仿宋" w:hAnsi="仿宋" w:hint="eastAsia"/>
          <w:sz w:val="28"/>
          <w:szCs w:val="28"/>
        </w:rPr>
        <w:t>和</w:t>
      </w:r>
      <w:r w:rsidR="0056340B">
        <w:rPr>
          <w:rFonts w:ascii="仿宋" w:eastAsia="仿宋" w:hAnsi="仿宋" w:hint="eastAsia"/>
          <w:sz w:val="28"/>
          <w:szCs w:val="28"/>
        </w:rPr>
        <w:t>江苏省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0B47FC" w:rsidRDefault="002D7773" w:rsidP="002D7773">
      <w:pPr>
        <w:pStyle w:val="1"/>
        <w:ind w:leftChars="50" w:left="105" w:firstLineChars="199" w:firstLine="55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成交额在50亿元至100亿元之间的</w:t>
      </w:r>
      <w:r w:rsidR="0056340B">
        <w:rPr>
          <w:rFonts w:ascii="仿宋" w:eastAsia="仿宋" w:hAnsi="仿宋" w:hint="eastAsia"/>
          <w:sz w:val="28"/>
          <w:szCs w:val="28"/>
        </w:rPr>
        <w:t>有</w:t>
      </w:r>
      <w:r w:rsidR="00D071C2">
        <w:rPr>
          <w:rFonts w:ascii="仿宋" w:eastAsia="仿宋" w:hAnsi="仿宋" w:hint="eastAsia"/>
          <w:sz w:val="28"/>
          <w:szCs w:val="28"/>
        </w:rPr>
        <w:t>3</w:t>
      </w:r>
      <w:r w:rsidR="000B47FC">
        <w:rPr>
          <w:rFonts w:ascii="仿宋" w:eastAsia="仿宋" w:hAnsi="仿宋" w:hint="eastAsia"/>
          <w:sz w:val="28"/>
          <w:szCs w:val="28"/>
        </w:rPr>
        <w:t>个省（市）：</w:t>
      </w:r>
      <w:r w:rsidR="0056340B">
        <w:rPr>
          <w:rFonts w:ascii="仿宋" w:eastAsia="仿宋" w:hAnsi="仿宋" w:hint="eastAsia"/>
          <w:sz w:val="28"/>
          <w:szCs w:val="28"/>
        </w:rPr>
        <w:t>广东省、北京市和</w:t>
      </w:r>
      <w:r w:rsidR="004E1744">
        <w:rPr>
          <w:rFonts w:ascii="仿宋" w:eastAsia="仿宋" w:hAnsi="仿宋" w:hint="eastAsia"/>
          <w:sz w:val="28"/>
          <w:szCs w:val="28"/>
        </w:rPr>
        <w:t>云南省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0B47FC" w:rsidRDefault="002D7773" w:rsidP="000B47FC">
      <w:pPr>
        <w:pStyle w:val="1"/>
        <w:ind w:leftChars="50" w:left="105" w:firstLineChars="199" w:firstLine="55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成交额在20亿元至50亿元的</w:t>
      </w:r>
      <w:r w:rsidR="000B47FC">
        <w:rPr>
          <w:rFonts w:ascii="仿宋" w:eastAsia="仿宋" w:hAnsi="仿宋" w:hint="eastAsia"/>
          <w:sz w:val="28"/>
          <w:szCs w:val="28"/>
        </w:rPr>
        <w:t>有8个省（市、区）：</w:t>
      </w:r>
      <w:r w:rsidR="0056340B">
        <w:rPr>
          <w:rFonts w:ascii="仿宋" w:eastAsia="仿宋" w:hAnsi="仿宋" w:hint="eastAsia"/>
          <w:sz w:val="28"/>
          <w:szCs w:val="28"/>
        </w:rPr>
        <w:t>海南省、陕西省、河南省、广西自治区、辽宁省、江西省、湖南省和新疆</w:t>
      </w:r>
      <w:r w:rsidR="00D071C2">
        <w:rPr>
          <w:rFonts w:ascii="仿宋" w:eastAsia="仿宋" w:hAnsi="仿宋" w:hint="eastAsia"/>
          <w:sz w:val="28"/>
          <w:szCs w:val="28"/>
        </w:rPr>
        <w:t>自治</w:t>
      </w:r>
      <w:r w:rsidR="0056340B">
        <w:rPr>
          <w:rFonts w:ascii="仿宋" w:eastAsia="仿宋" w:hAnsi="仿宋" w:hint="eastAsia"/>
          <w:sz w:val="28"/>
          <w:szCs w:val="28"/>
        </w:rPr>
        <w:t>区；</w:t>
      </w:r>
    </w:p>
    <w:p w:rsidR="000B47FC" w:rsidRDefault="002D7773" w:rsidP="000B47FC">
      <w:pPr>
        <w:pStyle w:val="1"/>
        <w:ind w:leftChars="50" w:left="105" w:firstLineChars="199" w:firstLine="55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成交额在</w:t>
      </w:r>
      <w:r w:rsidR="0056340B"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亿元至20亿元的</w:t>
      </w:r>
      <w:r w:rsidR="000B47FC">
        <w:rPr>
          <w:rFonts w:ascii="仿宋" w:eastAsia="仿宋" w:hAnsi="仿宋" w:hint="eastAsia"/>
          <w:sz w:val="28"/>
          <w:szCs w:val="28"/>
        </w:rPr>
        <w:t>有4个省（市、区）：</w:t>
      </w:r>
      <w:r w:rsidR="0056340B">
        <w:rPr>
          <w:rFonts w:ascii="仿宋" w:eastAsia="仿宋" w:hAnsi="仿宋" w:hint="eastAsia"/>
          <w:sz w:val="28"/>
          <w:szCs w:val="28"/>
        </w:rPr>
        <w:t>内蒙古</w:t>
      </w:r>
      <w:r w:rsidR="000B47FC">
        <w:rPr>
          <w:rFonts w:ascii="仿宋" w:eastAsia="仿宋" w:hAnsi="仿宋" w:hint="eastAsia"/>
          <w:sz w:val="28"/>
          <w:szCs w:val="28"/>
        </w:rPr>
        <w:t>自治区</w:t>
      </w:r>
      <w:r w:rsidR="0056340B">
        <w:rPr>
          <w:rFonts w:ascii="仿宋" w:eastAsia="仿宋" w:hAnsi="仿宋" w:hint="eastAsia"/>
          <w:sz w:val="28"/>
          <w:szCs w:val="28"/>
        </w:rPr>
        <w:t>、贵州省、天津市和宁夏自治区；</w:t>
      </w:r>
    </w:p>
    <w:p w:rsidR="000B47FC" w:rsidRDefault="0056340B" w:rsidP="000B47FC">
      <w:pPr>
        <w:pStyle w:val="1"/>
        <w:ind w:leftChars="50" w:left="105" w:firstLineChars="199" w:firstLine="55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成交额在5亿元至10亿元的</w:t>
      </w:r>
      <w:r w:rsidR="000B47FC">
        <w:rPr>
          <w:rFonts w:ascii="仿宋" w:eastAsia="仿宋" w:hAnsi="仿宋" w:hint="eastAsia"/>
          <w:sz w:val="28"/>
          <w:szCs w:val="28"/>
        </w:rPr>
        <w:t>有3个省（市）：</w:t>
      </w:r>
      <w:r>
        <w:rPr>
          <w:rFonts w:ascii="仿宋" w:eastAsia="仿宋" w:hAnsi="仿宋" w:hint="eastAsia"/>
          <w:sz w:val="28"/>
          <w:szCs w:val="28"/>
        </w:rPr>
        <w:t>黑龙江省、吉林</w:t>
      </w:r>
      <w:r>
        <w:rPr>
          <w:rFonts w:ascii="仿宋" w:eastAsia="仿宋" w:hAnsi="仿宋" w:hint="eastAsia"/>
          <w:sz w:val="28"/>
          <w:szCs w:val="28"/>
        </w:rPr>
        <w:lastRenderedPageBreak/>
        <w:t>省和山西省；</w:t>
      </w:r>
    </w:p>
    <w:p w:rsidR="002D7773" w:rsidRDefault="002D7773" w:rsidP="000B47FC">
      <w:pPr>
        <w:pStyle w:val="1"/>
        <w:ind w:leftChars="50" w:left="105" w:firstLineChars="199" w:firstLine="55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成交额</w:t>
      </w:r>
      <w:r w:rsidR="0056340B">
        <w:rPr>
          <w:rFonts w:ascii="仿宋" w:eastAsia="仿宋" w:hAnsi="仿宋" w:hint="eastAsia"/>
          <w:sz w:val="28"/>
          <w:szCs w:val="28"/>
        </w:rPr>
        <w:t>不足5</w:t>
      </w:r>
      <w:r>
        <w:rPr>
          <w:rFonts w:ascii="仿宋" w:eastAsia="仿宋" w:hAnsi="仿宋" w:hint="eastAsia"/>
          <w:sz w:val="28"/>
          <w:szCs w:val="28"/>
        </w:rPr>
        <w:t>亿元的</w:t>
      </w:r>
      <w:r w:rsidR="00E76509">
        <w:rPr>
          <w:rFonts w:ascii="仿宋" w:eastAsia="仿宋" w:hAnsi="仿宋" w:hint="eastAsia"/>
          <w:sz w:val="28"/>
          <w:szCs w:val="28"/>
        </w:rPr>
        <w:t>是</w:t>
      </w:r>
      <w:r w:rsidR="004E1744">
        <w:rPr>
          <w:rFonts w:ascii="仿宋" w:eastAsia="仿宋" w:hAnsi="仿宋" w:hint="eastAsia"/>
          <w:sz w:val="28"/>
          <w:szCs w:val="28"/>
        </w:rPr>
        <w:t>青海省</w:t>
      </w:r>
      <w:r w:rsidR="0056340B">
        <w:rPr>
          <w:rFonts w:ascii="仿宋" w:eastAsia="仿宋" w:hAnsi="仿宋" w:hint="eastAsia"/>
          <w:sz w:val="28"/>
          <w:szCs w:val="28"/>
        </w:rPr>
        <w:t>、</w:t>
      </w:r>
      <w:r w:rsidR="004E1744">
        <w:rPr>
          <w:rFonts w:ascii="仿宋" w:eastAsia="仿宋" w:hAnsi="仿宋" w:hint="eastAsia"/>
          <w:sz w:val="28"/>
          <w:szCs w:val="28"/>
        </w:rPr>
        <w:t>新疆生产建设兵团</w:t>
      </w:r>
      <w:r w:rsidR="0056340B">
        <w:rPr>
          <w:rFonts w:ascii="仿宋" w:eastAsia="仿宋" w:hAnsi="仿宋" w:hint="eastAsia"/>
          <w:sz w:val="28"/>
          <w:szCs w:val="28"/>
        </w:rPr>
        <w:t>和西藏自治区（见表3）</w:t>
      </w:r>
      <w:r w:rsidR="004E1744">
        <w:rPr>
          <w:rFonts w:ascii="仿宋" w:eastAsia="仿宋" w:hAnsi="仿宋" w:hint="eastAsia"/>
          <w:sz w:val="28"/>
          <w:szCs w:val="28"/>
        </w:rPr>
        <w:t>。</w:t>
      </w:r>
    </w:p>
    <w:p w:rsidR="002D7773" w:rsidRDefault="002D7773" w:rsidP="002D7773">
      <w:pPr>
        <w:pStyle w:val="1"/>
        <w:ind w:firstLineChars="0" w:firstLine="0"/>
        <w:jc w:val="center"/>
        <w:rPr>
          <w:rStyle w:val="a5"/>
          <w:rFonts w:ascii="黑体" w:eastAsia="黑体" w:hAnsi="黑体"/>
          <w:b w:val="0"/>
          <w:sz w:val="24"/>
          <w:szCs w:val="24"/>
        </w:rPr>
      </w:pPr>
    </w:p>
    <w:p w:rsidR="002D7773" w:rsidRPr="00E408AE" w:rsidRDefault="002D7773" w:rsidP="00E76509">
      <w:pPr>
        <w:pStyle w:val="1"/>
        <w:ind w:firstLineChars="0" w:firstLine="0"/>
        <w:jc w:val="center"/>
        <w:rPr>
          <w:rFonts w:ascii="黑体" w:eastAsia="黑体" w:hAnsi="黑体"/>
          <w:b/>
          <w:sz w:val="24"/>
          <w:szCs w:val="24"/>
        </w:rPr>
      </w:pPr>
      <w:r w:rsidRPr="00520962">
        <w:rPr>
          <w:rStyle w:val="a5"/>
          <w:rFonts w:ascii="黑体" w:eastAsia="黑体" w:hAnsi="黑体" w:hint="eastAsia"/>
          <w:b w:val="0"/>
          <w:sz w:val="24"/>
          <w:szCs w:val="24"/>
        </w:rPr>
        <w:t>表</w:t>
      </w:r>
      <w:r w:rsidR="00326441">
        <w:rPr>
          <w:rStyle w:val="a5"/>
          <w:rFonts w:ascii="黑体" w:eastAsia="黑体" w:hAnsi="黑体" w:hint="eastAsia"/>
          <w:b w:val="0"/>
          <w:sz w:val="24"/>
          <w:szCs w:val="24"/>
        </w:rPr>
        <w:t xml:space="preserve"> 3  2021</w:t>
      </w:r>
      <w:r w:rsidRPr="00520962">
        <w:rPr>
          <w:rStyle w:val="a5"/>
          <w:rFonts w:ascii="黑体" w:eastAsia="黑体" w:hAnsi="黑体" w:hint="eastAsia"/>
          <w:b w:val="0"/>
          <w:sz w:val="24"/>
          <w:szCs w:val="24"/>
        </w:rPr>
        <w:t>上半年全国各省（区、市）成交额</w:t>
      </w:r>
      <w:r w:rsidR="00326441">
        <w:rPr>
          <w:rStyle w:val="a5"/>
          <w:rFonts w:ascii="黑体" w:eastAsia="黑体" w:hAnsi="黑体" w:hint="eastAsia"/>
          <w:b w:val="0"/>
          <w:sz w:val="24"/>
          <w:szCs w:val="24"/>
        </w:rPr>
        <w:t>对比</w:t>
      </w:r>
      <w:r w:rsidR="00BC6B0C">
        <w:rPr>
          <w:rStyle w:val="a5"/>
          <w:rFonts w:ascii="黑体" w:eastAsia="黑体" w:hAnsi="黑体" w:hint="eastAsia"/>
          <w:b w:val="0"/>
          <w:sz w:val="24"/>
          <w:szCs w:val="24"/>
        </w:rPr>
        <w:t>情况</w:t>
      </w:r>
      <w:r w:rsidRPr="00520962">
        <w:rPr>
          <w:rStyle w:val="a5"/>
          <w:rFonts w:ascii="黑体" w:eastAsia="黑体" w:hAnsi="黑体" w:hint="eastAsia"/>
          <w:b w:val="0"/>
          <w:sz w:val="24"/>
          <w:szCs w:val="24"/>
        </w:rPr>
        <w:t xml:space="preserve">  </w:t>
      </w:r>
      <w:r w:rsidR="00BC6B0C">
        <w:rPr>
          <w:rStyle w:val="a5"/>
          <w:rFonts w:ascii="黑体" w:eastAsia="黑体" w:hAnsi="黑体" w:hint="eastAsia"/>
          <w:b w:val="0"/>
          <w:sz w:val="24"/>
          <w:szCs w:val="24"/>
        </w:rPr>
        <w:t xml:space="preserve"> </w:t>
      </w:r>
      <w:r w:rsidR="00CC4DDE">
        <w:rPr>
          <w:rStyle w:val="a5"/>
          <w:rFonts w:ascii="黑体" w:eastAsia="黑体" w:hAnsi="黑体" w:hint="eastAsia"/>
          <w:b w:val="0"/>
          <w:sz w:val="24"/>
          <w:szCs w:val="24"/>
        </w:rPr>
        <w:t>（</w:t>
      </w:r>
      <w:r w:rsidRPr="00520962">
        <w:rPr>
          <w:rStyle w:val="a5"/>
          <w:rFonts w:ascii="黑体" w:eastAsia="黑体" w:hAnsi="黑体" w:hint="eastAsia"/>
          <w:b w:val="0"/>
          <w:sz w:val="24"/>
          <w:szCs w:val="24"/>
        </w:rPr>
        <w:t>单位：万元</w:t>
      </w:r>
      <w:r w:rsidR="00CC4DDE">
        <w:rPr>
          <w:rStyle w:val="a5"/>
          <w:rFonts w:ascii="黑体" w:eastAsia="黑体" w:hAnsi="黑体" w:hint="eastAsia"/>
          <w:b w:val="0"/>
          <w:sz w:val="24"/>
          <w:szCs w:val="24"/>
        </w:rPr>
        <w:t>）</w:t>
      </w:r>
    </w:p>
    <w:tbl>
      <w:tblPr>
        <w:tblStyle w:val="3-1"/>
        <w:tblW w:w="5021" w:type="pct"/>
        <w:tblInd w:w="-176" w:type="dxa"/>
        <w:tblLook w:val="04A0"/>
      </w:tblPr>
      <w:tblGrid>
        <w:gridCol w:w="995"/>
        <w:gridCol w:w="1184"/>
        <w:gridCol w:w="1561"/>
        <w:gridCol w:w="1561"/>
        <w:gridCol w:w="1561"/>
        <w:gridCol w:w="1696"/>
      </w:tblGrid>
      <w:tr w:rsidR="00865011" w:rsidRPr="00CC4DDE" w:rsidTr="00326441">
        <w:trPr>
          <w:cnfStyle w:val="100000000000"/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865011" w:rsidRPr="00CC4DDE" w:rsidRDefault="00865011" w:rsidP="00E76509">
            <w:pPr>
              <w:widowControl/>
              <w:jc w:val="center"/>
              <w:rPr>
                <w:rFonts w:asciiTheme="minorEastAsia" w:eastAsiaTheme="minorEastAsia" w:hAnsiTheme="minorEastAsia" w:cs="宋体"/>
                <w:b w:val="0"/>
                <w:bCs w:val="0"/>
                <w:color w:val="auto"/>
                <w:kern w:val="0"/>
                <w:szCs w:val="21"/>
              </w:rPr>
            </w:pPr>
            <w:r w:rsidRPr="00CC4DDE">
              <w:rPr>
                <w:rFonts w:asciiTheme="minorEastAsia" w:eastAsiaTheme="minorEastAsia" w:hAnsiTheme="minorEastAsia" w:cs="宋体" w:hint="eastAsia"/>
                <w:color w:val="auto"/>
                <w:kern w:val="0"/>
                <w:szCs w:val="21"/>
              </w:rPr>
              <w:t>成交额排名</w:t>
            </w:r>
          </w:p>
        </w:tc>
        <w:tc>
          <w:tcPr>
            <w:tcW w:w="692" w:type="pct"/>
            <w:vAlign w:val="center"/>
            <w:hideMark/>
          </w:tcPr>
          <w:p w:rsidR="00865011" w:rsidRPr="00C94E7D" w:rsidRDefault="00865011" w:rsidP="00E76509">
            <w:pPr>
              <w:widowControl/>
              <w:jc w:val="center"/>
              <w:cnfStyle w:val="100000000000"/>
              <w:rPr>
                <w:rFonts w:asciiTheme="minorEastAsia" w:eastAsiaTheme="minorEastAsia" w:hAnsiTheme="minorEastAsia" w:cs="宋体"/>
                <w:bCs w:val="0"/>
                <w:color w:val="auto"/>
                <w:kern w:val="0"/>
                <w:szCs w:val="21"/>
              </w:rPr>
            </w:pPr>
            <w:r w:rsidRPr="00C94E7D">
              <w:rPr>
                <w:rFonts w:asciiTheme="minorEastAsia" w:eastAsiaTheme="minorEastAsia" w:hAnsiTheme="minorEastAsia" w:cs="宋体" w:hint="eastAsia"/>
                <w:bCs w:val="0"/>
                <w:color w:val="auto"/>
                <w:kern w:val="0"/>
                <w:szCs w:val="21"/>
              </w:rPr>
              <w:t>区域</w:t>
            </w:r>
          </w:p>
        </w:tc>
        <w:tc>
          <w:tcPr>
            <w:tcW w:w="912" w:type="pct"/>
            <w:vAlign w:val="center"/>
            <w:hideMark/>
          </w:tcPr>
          <w:p w:rsidR="00865011" w:rsidRPr="00CC4DDE" w:rsidRDefault="00326441" w:rsidP="00E76509">
            <w:pPr>
              <w:widowControl/>
              <w:jc w:val="center"/>
              <w:cnfStyle w:val="100000000000"/>
              <w:rPr>
                <w:rFonts w:asciiTheme="minorEastAsia" w:eastAsiaTheme="minorEastAsia" w:hAnsiTheme="minorEastAsia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kern w:val="0"/>
                <w:szCs w:val="21"/>
              </w:rPr>
              <w:t>2021年上半年</w:t>
            </w:r>
          </w:p>
        </w:tc>
        <w:tc>
          <w:tcPr>
            <w:tcW w:w="912" w:type="pct"/>
            <w:vAlign w:val="center"/>
          </w:tcPr>
          <w:p w:rsidR="00865011" w:rsidRPr="00CC4DDE" w:rsidRDefault="00326441" w:rsidP="00E76509">
            <w:pPr>
              <w:widowControl/>
              <w:jc w:val="center"/>
              <w:cnfStyle w:val="100000000000"/>
              <w:rPr>
                <w:rFonts w:asciiTheme="minorEastAsia" w:eastAsiaTheme="minorEastAsia" w:hAnsiTheme="minorEastAsia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kern w:val="0"/>
                <w:szCs w:val="21"/>
              </w:rPr>
              <w:t>业务占比（%）</w:t>
            </w:r>
          </w:p>
        </w:tc>
        <w:tc>
          <w:tcPr>
            <w:tcW w:w="912" w:type="pct"/>
            <w:vAlign w:val="center"/>
            <w:hideMark/>
          </w:tcPr>
          <w:p w:rsidR="00865011" w:rsidRPr="00CC4DDE" w:rsidRDefault="00326441" w:rsidP="00E76509">
            <w:pPr>
              <w:widowControl/>
              <w:jc w:val="center"/>
              <w:cnfStyle w:val="100000000000"/>
              <w:rPr>
                <w:rFonts w:asciiTheme="minorEastAsia" w:eastAsiaTheme="minorEastAsia" w:hAnsiTheme="minorEastAsia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auto"/>
                <w:kern w:val="0"/>
                <w:szCs w:val="21"/>
              </w:rPr>
              <w:t>2020年上半年</w:t>
            </w:r>
          </w:p>
        </w:tc>
        <w:tc>
          <w:tcPr>
            <w:tcW w:w="991" w:type="pct"/>
            <w:vAlign w:val="center"/>
            <w:hideMark/>
          </w:tcPr>
          <w:p w:rsidR="00865011" w:rsidRPr="00CC4DDE" w:rsidRDefault="00865011" w:rsidP="00E76509">
            <w:pPr>
              <w:widowControl/>
              <w:jc w:val="center"/>
              <w:cnfStyle w:val="100000000000"/>
              <w:rPr>
                <w:rFonts w:asciiTheme="minorEastAsia" w:eastAsiaTheme="minorEastAsia" w:hAnsiTheme="minorEastAsia" w:cs="宋体"/>
                <w:b w:val="0"/>
                <w:bCs w:val="0"/>
                <w:color w:val="auto"/>
                <w:kern w:val="0"/>
                <w:szCs w:val="21"/>
              </w:rPr>
            </w:pPr>
            <w:r w:rsidRPr="00CC4DDE">
              <w:rPr>
                <w:rFonts w:asciiTheme="minorEastAsia" w:eastAsiaTheme="minorEastAsia" w:hAnsiTheme="minorEastAsia" w:cs="宋体" w:hint="eastAsia"/>
                <w:color w:val="auto"/>
                <w:kern w:val="0"/>
                <w:szCs w:val="21"/>
              </w:rPr>
              <w:t>增长率(%)</w:t>
            </w:r>
          </w:p>
        </w:tc>
      </w:tr>
      <w:tr w:rsidR="00326441" w:rsidRPr="00CC4DDE" w:rsidTr="00326441">
        <w:trPr>
          <w:cnfStyle w:val="000000100000"/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全国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35772343.4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100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28969353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23.48</w:t>
            </w:r>
          </w:p>
        </w:tc>
      </w:tr>
      <w:tr w:rsidR="00326441" w:rsidRPr="00CC4DDE" w:rsidTr="00326441">
        <w:trPr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河北省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6428861.95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17.97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6049937.4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6.26</w:t>
            </w:r>
          </w:p>
        </w:tc>
      </w:tr>
      <w:tr w:rsidR="00326441" w:rsidRPr="00CC4DDE" w:rsidTr="00326441">
        <w:trPr>
          <w:cnfStyle w:val="000000100000"/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安徽省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4381962.63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12.25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2833405.1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54.65</w:t>
            </w:r>
          </w:p>
        </w:tc>
      </w:tr>
      <w:tr w:rsidR="00326441" w:rsidRPr="00CC4DDE" w:rsidTr="00326441">
        <w:trPr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福建省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3417937.88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9.55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4428950.9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-22.83</w:t>
            </w:r>
          </w:p>
        </w:tc>
      </w:tr>
      <w:tr w:rsidR="00326441" w:rsidRPr="00CC4DDE" w:rsidTr="00326441">
        <w:trPr>
          <w:cnfStyle w:val="000000100000"/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4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四川省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3300151.47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9.23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3305759.9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-0.17</w:t>
            </w:r>
          </w:p>
        </w:tc>
      </w:tr>
      <w:tr w:rsidR="00326441" w:rsidRPr="00CC4DDE" w:rsidTr="00326441">
        <w:trPr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5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上海市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2454139.71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6.86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1877137.4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30.74</w:t>
            </w:r>
          </w:p>
        </w:tc>
      </w:tr>
      <w:tr w:rsidR="00326441" w:rsidRPr="00CC4DDE" w:rsidTr="00326441">
        <w:trPr>
          <w:cnfStyle w:val="000000100000"/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6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山东省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2139661.15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5.98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1160074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84.44</w:t>
            </w:r>
          </w:p>
        </w:tc>
      </w:tr>
      <w:tr w:rsidR="00326441" w:rsidRPr="00CC4DDE" w:rsidTr="00326441">
        <w:trPr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7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浙江省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1846203.49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5.16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1258218.6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46.73</w:t>
            </w:r>
          </w:p>
        </w:tc>
      </w:tr>
      <w:tr w:rsidR="00326441" w:rsidRPr="00CC4DDE" w:rsidTr="00326441">
        <w:trPr>
          <w:cnfStyle w:val="000000100000"/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8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湖北省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1511521.31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4.23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1331740.6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13.5</w:t>
            </w:r>
          </w:p>
        </w:tc>
      </w:tr>
      <w:tr w:rsidR="00326441" w:rsidRPr="00CC4DDE" w:rsidTr="00326441">
        <w:trPr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9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甘肃省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1423133.37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3.98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752386.51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89.15</w:t>
            </w:r>
          </w:p>
        </w:tc>
      </w:tr>
      <w:tr w:rsidR="00326441" w:rsidRPr="00CC4DDE" w:rsidTr="00326441">
        <w:trPr>
          <w:cnfStyle w:val="000000100000"/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10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重庆市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1419485.76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3.97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276945.07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412.55</w:t>
            </w:r>
          </w:p>
        </w:tc>
      </w:tr>
      <w:tr w:rsidR="00326441" w:rsidRPr="00CC4DDE" w:rsidTr="00326441">
        <w:trPr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11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江苏省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1210767.99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3.38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698880.94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73.24</w:t>
            </w:r>
          </w:p>
        </w:tc>
      </w:tr>
      <w:tr w:rsidR="00326441" w:rsidRPr="00CC4DDE" w:rsidTr="00326441">
        <w:trPr>
          <w:cnfStyle w:val="000000100000"/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12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广东省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826569.417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2.31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358886.5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130.31</w:t>
            </w:r>
          </w:p>
        </w:tc>
      </w:tr>
      <w:tr w:rsidR="00326441" w:rsidRPr="00CC4DDE" w:rsidTr="00326441">
        <w:trPr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13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北京市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528074.979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1.48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290592.51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81.72</w:t>
            </w:r>
          </w:p>
        </w:tc>
      </w:tr>
      <w:tr w:rsidR="00326441" w:rsidRPr="00CC4DDE" w:rsidTr="00326441">
        <w:trPr>
          <w:cnfStyle w:val="000000100000"/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14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云南省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519212.673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1.45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724242.65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-28.31</w:t>
            </w:r>
          </w:p>
        </w:tc>
      </w:tr>
      <w:tr w:rsidR="00326441" w:rsidRPr="00CC4DDE" w:rsidTr="00326441">
        <w:trPr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15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海南省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464183.006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1.3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275800.79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68.3</w:t>
            </w:r>
          </w:p>
        </w:tc>
      </w:tr>
      <w:tr w:rsidR="00326441" w:rsidRPr="00CC4DDE" w:rsidTr="00326441">
        <w:trPr>
          <w:cnfStyle w:val="000000100000"/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lastRenderedPageBreak/>
              <w:t>16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陕西省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442873.112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1.24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278817.86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58.84</w:t>
            </w:r>
          </w:p>
        </w:tc>
      </w:tr>
      <w:tr w:rsidR="00326441" w:rsidRPr="00CC4DDE" w:rsidTr="00326441">
        <w:trPr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17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河南省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427373.042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1.19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460074.98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-7.11</w:t>
            </w:r>
          </w:p>
        </w:tc>
      </w:tr>
      <w:tr w:rsidR="00326441" w:rsidRPr="00CC4DDE" w:rsidTr="00326441">
        <w:trPr>
          <w:cnfStyle w:val="000000100000"/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18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广西区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411332.673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1.15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425255.89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-3.27</w:t>
            </w:r>
          </w:p>
        </w:tc>
      </w:tr>
      <w:tr w:rsidR="00326441" w:rsidRPr="00CC4DDE" w:rsidTr="00326441">
        <w:trPr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19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辽宁省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408175.066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1.14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300032.88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36.04</w:t>
            </w:r>
          </w:p>
        </w:tc>
      </w:tr>
      <w:tr w:rsidR="00326441" w:rsidRPr="00CC4DDE" w:rsidTr="00326441">
        <w:trPr>
          <w:cnfStyle w:val="000000100000"/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20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江西省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401410.255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1.12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212635.96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88.78</w:t>
            </w:r>
          </w:p>
        </w:tc>
      </w:tr>
      <w:tr w:rsidR="00326441" w:rsidRPr="00CC4DDE" w:rsidTr="00326441">
        <w:trPr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21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湖南省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393124.443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1.1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535632.57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-26.61</w:t>
            </w:r>
          </w:p>
        </w:tc>
      </w:tr>
      <w:tr w:rsidR="00326441" w:rsidRPr="00CC4DDE" w:rsidTr="00326441">
        <w:trPr>
          <w:cnfStyle w:val="000000100000"/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22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新疆区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382822.542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1.07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268461.39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42.6</w:t>
            </w:r>
          </w:p>
        </w:tc>
      </w:tr>
      <w:tr w:rsidR="00326441" w:rsidRPr="00CC4DDE" w:rsidTr="00326441">
        <w:trPr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23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内蒙古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232384.575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0.65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348158.47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-33.25</w:t>
            </w:r>
          </w:p>
        </w:tc>
      </w:tr>
      <w:tr w:rsidR="00326441" w:rsidRPr="00CC4DDE" w:rsidTr="00326441">
        <w:trPr>
          <w:cnfStyle w:val="000000100000"/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24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贵州省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231484.134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0.65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128878.22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79.61</w:t>
            </w:r>
          </w:p>
        </w:tc>
      </w:tr>
      <w:tr w:rsidR="00326441" w:rsidRPr="00CC4DDE" w:rsidTr="00326441">
        <w:trPr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25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天津市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177518.547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0.5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18344.933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867.67</w:t>
            </w:r>
          </w:p>
        </w:tc>
      </w:tr>
      <w:tr w:rsidR="00326441" w:rsidRPr="00CC4DDE" w:rsidTr="00326441">
        <w:trPr>
          <w:cnfStyle w:val="000000100000"/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26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宁夏区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109219.433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0.31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38196.563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185.94</w:t>
            </w:r>
          </w:p>
        </w:tc>
      </w:tr>
      <w:tr w:rsidR="00326441" w:rsidRPr="00CC4DDE" w:rsidTr="00326441">
        <w:trPr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27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黑龙江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94038.3984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0.26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71074.58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32.31</w:t>
            </w:r>
          </w:p>
        </w:tc>
      </w:tr>
      <w:tr w:rsidR="00326441" w:rsidRPr="00CC4DDE" w:rsidTr="00326441">
        <w:trPr>
          <w:cnfStyle w:val="000000100000"/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28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吉林省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84617.5131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0.24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51864.989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63.15</w:t>
            </w:r>
          </w:p>
        </w:tc>
      </w:tr>
      <w:tr w:rsidR="00326441" w:rsidRPr="00CC4DDE" w:rsidTr="00326441">
        <w:trPr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29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山西省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56197.7803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0.16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60960.299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-7.81</w:t>
            </w:r>
          </w:p>
        </w:tc>
      </w:tr>
      <w:tr w:rsidR="00326441" w:rsidRPr="00CC4DDE" w:rsidTr="00326441">
        <w:trPr>
          <w:cnfStyle w:val="000000100000"/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30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青海省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36271.7201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0.1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24807.798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46.21</w:t>
            </w:r>
          </w:p>
        </w:tc>
      </w:tr>
      <w:tr w:rsidR="00326441" w:rsidRPr="00CC4DDE" w:rsidTr="00326441">
        <w:trPr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31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新疆兵团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10744.9081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0.03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12697.742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0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-15.38</w:t>
            </w:r>
          </w:p>
        </w:tc>
      </w:tr>
      <w:tr w:rsidR="00326441" w:rsidRPr="00CC4DDE" w:rsidTr="00326441">
        <w:trPr>
          <w:cnfStyle w:val="000000100000"/>
          <w:trHeight w:val="285"/>
        </w:trPr>
        <w:tc>
          <w:tcPr>
            <w:cnfStyle w:val="001000000000"/>
            <w:tcW w:w="581" w:type="pct"/>
            <w:vAlign w:val="center"/>
            <w:hideMark/>
          </w:tcPr>
          <w:p w:rsidR="00326441" w:rsidRDefault="0032644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32</w:t>
            </w:r>
          </w:p>
        </w:tc>
        <w:tc>
          <w:tcPr>
            <w:tcW w:w="69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西藏区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888.44</w:t>
            </w:r>
          </w:p>
        </w:tc>
        <w:tc>
          <w:tcPr>
            <w:tcW w:w="912" w:type="pct"/>
            <w:vAlign w:val="center"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0</w:t>
            </w:r>
          </w:p>
        </w:tc>
        <w:tc>
          <w:tcPr>
            <w:tcW w:w="912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110499.38</w:t>
            </w:r>
          </w:p>
        </w:tc>
        <w:tc>
          <w:tcPr>
            <w:tcW w:w="991" w:type="pct"/>
            <w:vAlign w:val="center"/>
            <w:hideMark/>
          </w:tcPr>
          <w:p w:rsidR="00326441" w:rsidRDefault="00326441">
            <w:pPr>
              <w:cnfStyle w:val="000000100000"/>
              <w:rPr>
                <w:rFonts w:ascii="微软雅黑" w:eastAsia="微软雅黑" w:hAnsi="微软雅黑" w:cs="宋体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-99.2</w:t>
            </w:r>
          </w:p>
        </w:tc>
      </w:tr>
    </w:tbl>
    <w:p w:rsidR="00520962" w:rsidRPr="00CE45D7" w:rsidRDefault="00520962" w:rsidP="002D7773">
      <w:pPr>
        <w:pStyle w:val="1"/>
        <w:ind w:firstLineChars="0" w:firstLine="540"/>
        <w:rPr>
          <w:rFonts w:ascii="仿宋" w:eastAsia="仿宋" w:hAnsi="仿宋"/>
          <w:szCs w:val="21"/>
        </w:rPr>
      </w:pPr>
    </w:p>
    <w:p w:rsidR="00E76509" w:rsidRDefault="002D7773" w:rsidP="00E76509">
      <w:pPr>
        <w:pStyle w:val="1"/>
        <w:ind w:firstLineChars="0" w:firstLine="540"/>
        <w:rPr>
          <w:rFonts w:ascii="仿宋" w:eastAsia="仿宋" w:hAnsi="仿宋"/>
          <w:sz w:val="28"/>
          <w:szCs w:val="28"/>
        </w:rPr>
      </w:pPr>
      <w:r w:rsidRPr="0001140C">
        <w:rPr>
          <w:rFonts w:ascii="仿宋" w:eastAsia="仿宋" w:hAnsi="仿宋" w:hint="eastAsia"/>
          <w:sz w:val="28"/>
          <w:szCs w:val="28"/>
        </w:rPr>
        <w:t>从</w:t>
      </w:r>
      <w:r w:rsidR="00E76509">
        <w:rPr>
          <w:rFonts w:ascii="仿宋" w:eastAsia="仿宋" w:hAnsi="仿宋" w:hint="eastAsia"/>
          <w:sz w:val="28"/>
          <w:szCs w:val="28"/>
        </w:rPr>
        <w:t>拍卖</w:t>
      </w:r>
      <w:r w:rsidRPr="0001140C">
        <w:rPr>
          <w:rFonts w:ascii="仿宋" w:eastAsia="仿宋" w:hAnsi="仿宋" w:hint="eastAsia"/>
          <w:sz w:val="28"/>
          <w:szCs w:val="28"/>
        </w:rPr>
        <w:t>业务</w:t>
      </w:r>
      <w:r w:rsidR="00E76509">
        <w:rPr>
          <w:rFonts w:ascii="仿宋" w:eastAsia="仿宋" w:hAnsi="仿宋" w:hint="eastAsia"/>
          <w:sz w:val="28"/>
          <w:szCs w:val="28"/>
        </w:rPr>
        <w:t>的</w:t>
      </w:r>
      <w:r w:rsidRPr="0001140C">
        <w:rPr>
          <w:rFonts w:ascii="仿宋" w:eastAsia="仿宋" w:hAnsi="仿宋" w:hint="eastAsia"/>
          <w:sz w:val="28"/>
          <w:szCs w:val="28"/>
        </w:rPr>
        <w:t>地域分布来看，主要成交额仍然分布在京津冀、长三角、珠三角及东南沿海</w:t>
      </w:r>
      <w:r w:rsidR="00D071C2">
        <w:rPr>
          <w:rFonts w:ascii="仿宋" w:eastAsia="仿宋" w:hAnsi="仿宋" w:hint="eastAsia"/>
          <w:sz w:val="28"/>
          <w:szCs w:val="28"/>
        </w:rPr>
        <w:t>等</w:t>
      </w:r>
      <w:r w:rsidRPr="0001140C">
        <w:rPr>
          <w:rFonts w:ascii="仿宋" w:eastAsia="仿宋" w:hAnsi="仿宋" w:hint="eastAsia"/>
          <w:sz w:val="28"/>
          <w:szCs w:val="28"/>
        </w:rPr>
        <w:t>经济</w:t>
      </w:r>
      <w:r w:rsidR="00E32246">
        <w:rPr>
          <w:rFonts w:ascii="仿宋" w:eastAsia="仿宋" w:hAnsi="仿宋" w:hint="eastAsia"/>
          <w:sz w:val="28"/>
          <w:szCs w:val="28"/>
        </w:rPr>
        <w:t>较</w:t>
      </w:r>
      <w:r w:rsidRPr="0001140C">
        <w:rPr>
          <w:rFonts w:ascii="仿宋" w:eastAsia="仿宋" w:hAnsi="仿宋" w:hint="eastAsia"/>
          <w:sz w:val="28"/>
          <w:szCs w:val="28"/>
        </w:rPr>
        <w:t>发达地区，</w:t>
      </w:r>
      <w:r>
        <w:rPr>
          <w:rFonts w:ascii="仿宋" w:eastAsia="仿宋" w:hAnsi="仿宋" w:hint="eastAsia"/>
          <w:sz w:val="28"/>
          <w:szCs w:val="28"/>
        </w:rPr>
        <w:t>约占行业总业务量的</w:t>
      </w:r>
      <w:r w:rsidR="00D071C2">
        <w:rPr>
          <w:rFonts w:ascii="仿宋" w:eastAsia="仿宋" w:hAnsi="仿宋" w:hint="eastAsia"/>
          <w:sz w:val="28"/>
          <w:szCs w:val="28"/>
        </w:rPr>
        <w:t>三分之二，</w:t>
      </w:r>
      <w:r w:rsidR="00530CFF">
        <w:rPr>
          <w:rFonts w:ascii="仿宋" w:eastAsia="仿宋" w:hAnsi="仿宋" w:hint="eastAsia"/>
          <w:sz w:val="28"/>
          <w:szCs w:val="28"/>
        </w:rPr>
        <w:t>区域发展</w:t>
      </w:r>
      <w:proofErr w:type="gramStart"/>
      <w:r w:rsidR="00530CFF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530CFF">
        <w:rPr>
          <w:rFonts w:ascii="仿宋" w:eastAsia="仿宋" w:hAnsi="仿宋" w:hint="eastAsia"/>
          <w:sz w:val="28"/>
          <w:szCs w:val="28"/>
        </w:rPr>
        <w:t>均衡的问题仍较为突出</w:t>
      </w:r>
      <w:r w:rsidRPr="0001140C">
        <w:rPr>
          <w:rFonts w:ascii="仿宋" w:eastAsia="仿宋" w:hAnsi="仿宋" w:hint="eastAsia"/>
          <w:sz w:val="28"/>
          <w:szCs w:val="28"/>
        </w:rPr>
        <w:t>。</w:t>
      </w:r>
    </w:p>
    <w:p w:rsidR="000B47FC" w:rsidRDefault="00E76509" w:rsidP="003F5D84">
      <w:pPr>
        <w:pStyle w:val="1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从拍卖业务</w:t>
      </w:r>
      <w:r w:rsidR="00530CFF">
        <w:rPr>
          <w:rFonts w:ascii="仿宋" w:eastAsia="仿宋" w:hAnsi="仿宋" w:hint="eastAsia"/>
          <w:sz w:val="28"/>
          <w:szCs w:val="28"/>
        </w:rPr>
        <w:t>的</w:t>
      </w:r>
      <w:r w:rsidR="000B47FC">
        <w:rPr>
          <w:rFonts w:ascii="仿宋" w:eastAsia="仿宋" w:hAnsi="仿宋" w:hint="eastAsia"/>
          <w:sz w:val="28"/>
          <w:szCs w:val="28"/>
        </w:rPr>
        <w:t>集中度</w:t>
      </w:r>
      <w:r>
        <w:rPr>
          <w:rFonts w:ascii="仿宋" w:eastAsia="仿宋" w:hAnsi="仿宋" w:hint="eastAsia"/>
          <w:sz w:val="28"/>
          <w:szCs w:val="28"/>
        </w:rPr>
        <w:t>情况看，</w:t>
      </w:r>
      <w:r w:rsidR="003F5D84">
        <w:rPr>
          <w:rFonts w:ascii="仿宋" w:eastAsia="仿宋" w:hAnsi="仿宋" w:hint="eastAsia"/>
          <w:sz w:val="28"/>
          <w:szCs w:val="28"/>
        </w:rPr>
        <w:t>具有一定规模</w:t>
      </w:r>
      <w:r w:rsidR="00530CFF">
        <w:rPr>
          <w:rFonts w:ascii="仿宋" w:eastAsia="仿宋" w:hAnsi="仿宋" w:hint="eastAsia"/>
          <w:sz w:val="28"/>
          <w:szCs w:val="28"/>
        </w:rPr>
        <w:t>且专业化程度较高的</w:t>
      </w:r>
      <w:r w:rsidRPr="0001140C">
        <w:rPr>
          <w:rFonts w:ascii="仿宋" w:eastAsia="仿宋" w:hAnsi="仿宋" w:hint="eastAsia"/>
          <w:sz w:val="28"/>
          <w:szCs w:val="28"/>
        </w:rPr>
        <w:lastRenderedPageBreak/>
        <w:t>拍卖企业</w:t>
      </w:r>
      <w:r w:rsidR="000B47FC">
        <w:rPr>
          <w:rFonts w:ascii="仿宋" w:eastAsia="仿宋" w:hAnsi="仿宋" w:hint="eastAsia"/>
          <w:sz w:val="28"/>
          <w:szCs w:val="28"/>
        </w:rPr>
        <w:t>仍是</w:t>
      </w:r>
      <w:r w:rsidR="00530CFF">
        <w:rPr>
          <w:rFonts w:ascii="仿宋" w:eastAsia="仿宋" w:hAnsi="仿宋" w:hint="eastAsia"/>
          <w:sz w:val="28"/>
          <w:szCs w:val="28"/>
        </w:rPr>
        <w:t>行业“主力军”</w:t>
      </w:r>
      <w:r w:rsidR="000B47FC">
        <w:rPr>
          <w:rFonts w:ascii="仿宋" w:eastAsia="仿宋" w:hAnsi="仿宋" w:hint="eastAsia"/>
          <w:sz w:val="28"/>
          <w:szCs w:val="28"/>
        </w:rPr>
        <w:t>，</w:t>
      </w:r>
      <w:r w:rsidR="00530CFF">
        <w:rPr>
          <w:rFonts w:ascii="仿宋" w:eastAsia="仿宋" w:hAnsi="仿宋" w:hint="eastAsia"/>
          <w:sz w:val="28"/>
          <w:szCs w:val="28"/>
        </w:rPr>
        <w:t>同时，已</w:t>
      </w:r>
      <w:r w:rsidR="000B47FC">
        <w:rPr>
          <w:rFonts w:ascii="仿宋" w:eastAsia="仿宋" w:hAnsi="仿宋" w:hint="eastAsia"/>
          <w:sz w:val="28"/>
          <w:szCs w:val="28"/>
        </w:rPr>
        <w:t>形成</w:t>
      </w:r>
      <w:r w:rsidR="00773717">
        <w:rPr>
          <w:rFonts w:ascii="仿宋" w:eastAsia="仿宋" w:hAnsi="仿宋" w:hint="eastAsia"/>
          <w:sz w:val="28"/>
          <w:szCs w:val="28"/>
        </w:rPr>
        <w:t>拍卖业务向</w:t>
      </w:r>
      <w:r w:rsidR="00530CFF">
        <w:rPr>
          <w:rFonts w:ascii="仿宋" w:eastAsia="仿宋" w:hAnsi="仿宋" w:hint="eastAsia"/>
          <w:sz w:val="28"/>
          <w:szCs w:val="28"/>
        </w:rPr>
        <w:t>重点</w:t>
      </w:r>
      <w:r w:rsidR="00773717">
        <w:rPr>
          <w:rFonts w:ascii="仿宋" w:eastAsia="仿宋" w:hAnsi="仿宋" w:hint="eastAsia"/>
          <w:sz w:val="28"/>
          <w:szCs w:val="28"/>
        </w:rPr>
        <w:t>企业</w:t>
      </w:r>
      <w:r w:rsidR="00530CFF">
        <w:rPr>
          <w:rFonts w:ascii="仿宋" w:eastAsia="仿宋" w:hAnsi="仿宋" w:hint="eastAsia"/>
          <w:sz w:val="28"/>
          <w:szCs w:val="28"/>
        </w:rPr>
        <w:t>进一步</w:t>
      </w:r>
      <w:r w:rsidR="00773717">
        <w:rPr>
          <w:rFonts w:ascii="仿宋" w:eastAsia="仿宋" w:hAnsi="仿宋" w:hint="eastAsia"/>
          <w:sz w:val="28"/>
          <w:szCs w:val="28"/>
        </w:rPr>
        <w:t>集中的趋势</w:t>
      </w:r>
      <w:r w:rsidRPr="0001140C">
        <w:rPr>
          <w:rFonts w:ascii="仿宋" w:eastAsia="仿宋" w:hAnsi="仿宋" w:hint="eastAsia"/>
          <w:sz w:val="28"/>
          <w:szCs w:val="28"/>
        </w:rPr>
        <w:t>。</w:t>
      </w:r>
    </w:p>
    <w:p w:rsidR="00773717" w:rsidRDefault="000B47FC" w:rsidP="003F5D84">
      <w:pPr>
        <w:pStyle w:val="1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从</w:t>
      </w:r>
      <w:r w:rsidR="00457E41">
        <w:rPr>
          <w:rFonts w:ascii="仿宋" w:eastAsia="仿宋" w:hAnsi="仿宋" w:hint="eastAsia"/>
          <w:sz w:val="28"/>
          <w:szCs w:val="28"/>
        </w:rPr>
        <w:t>各区域</w:t>
      </w:r>
      <w:r w:rsidR="00773717">
        <w:rPr>
          <w:rFonts w:ascii="仿宋" w:eastAsia="仿宋" w:hAnsi="仿宋" w:hint="eastAsia"/>
          <w:sz w:val="28"/>
          <w:szCs w:val="28"/>
        </w:rPr>
        <w:t>业务发展趋势来看，上半年，业务出现负增长的区域主要集中在“老、少、边、穷”地区，山西、河南、云南、</w:t>
      </w:r>
      <w:r w:rsidR="00224365">
        <w:rPr>
          <w:rFonts w:ascii="仿宋" w:eastAsia="仿宋" w:hAnsi="仿宋" w:hint="eastAsia"/>
          <w:sz w:val="28"/>
          <w:szCs w:val="28"/>
        </w:rPr>
        <w:t>广西、内蒙古</w:t>
      </w:r>
      <w:r w:rsidR="00773717">
        <w:rPr>
          <w:rFonts w:ascii="仿宋" w:eastAsia="仿宋" w:hAnsi="仿宋" w:hint="eastAsia"/>
          <w:sz w:val="28"/>
          <w:szCs w:val="28"/>
        </w:rPr>
        <w:t>和西藏等</w:t>
      </w:r>
      <w:r w:rsidR="00D071C2">
        <w:rPr>
          <w:rFonts w:ascii="仿宋" w:eastAsia="仿宋" w:hAnsi="仿宋" w:hint="eastAsia"/>
          <w:sz w:val="28"/>
          <w:szCs w:val="28"/>
        </w:rPr>
        <w:t>地区拍卖成交额同比均出现了不同幅度</w:t>
      </w:r>
      <w:r w:rsidR="00457E41">
        <w:rPr>
          <w:rFonts w:ascii="仿宋" w:eastAsia="仿宋" w:hAnsi="仿宋" w:hint="eastAsia"/>
          <w:sz w:val="28"/>
          <w:szCs w:val="28"/>
        </w:rPr>
        <w:t>下降，暴露出企业</w:t>
      </w:r>
      <w:r w:rsidR="00D071C2">
        <w:rPr>
          <w:rFonts w:ascii="仿宋" w:eastAsia="仿宋" w:hAnsi="仿宋" w:hint="eastAsia"/>
          <w:sz w:val="28"/>
          <w:szCs w:val="28"/>
        </w:rPr>
        <w:t>在市场拓</w:t>
      </w:r>
      <w:r w:rsidR="00457E41">
        <w:rPr>
          <w:rFonts w:ascii="仿宋" w:eastAsia="仿宋" w:hAnsi="仿宋" w:hint="eastAsia"/>
          <w:sz w:val="28"/>
          <w:szCs w:val="28"/>
        </w:rPr>
        <w:t>、</w:t>
      </w:r>
      <w:r w:rsidR="00773717">
        <w:rPr>
          <w:rFonts w:ascii="仿宋" w:eastAsia="仿宋" w:hAnsi="仿宋" w:hint="eastAsia"/>
          <w:sz w:val="28"/>
          <w:szCs w:val="28"/>
        </w:rPr>
        <w:t>业务模式</w:t>
      </w:r>
      <w:r w:rsidR="00457E41">
        <w:rPr>
          <w:rFonts w:ascii="仿宋" w:eastAsia="仿宋" w:hAnsi="仿宋" w:hint="eastAsia"/>
          <w:sz w:val="28"/>
          <w:szCs w:val="28"/>
        </w:rPr>
        <w:t>和</w:t>
      </w:r>
      <w:r w:rsidR="00773717">
        <w:rPr>
          <w:rFonts w:ascii="仿宋" w:eastAsia="仿宋" w:hAnsi="仿宋" w:hint="eastAsia"/>
          <w:sz w:val="28"/>
          <w:szCs w:val="28"/>
        </w:rPr>
        <w:t>营销手段</w:t>
      </w:r>
      <w:r w:rsidR="00D071C2">
        <w:rPr>
          <w:rFonts w:ascii="仿宋" w:eastAsia="仿宋" w:hAnsi="仿宋" w:hint="eastAsia"/>
          <w:sz w:val="28"/>
          <w:szCs w:val="28"/>
        </w:rPr>
        <w:t>创新</w:t>
      </w:r>
      <w:r w:rsidR="00773717">
        <w:rPr>
          <w:rFonts w:ascii="仿宋" w:eastAsia="仿宋" w:hAnsi="仿宋" w:hint="eastAsia"/>
          <w:sz w:val="28"/>
          <w:szCs w:val="28"/>
        </w:rPr>
        <w:t>等方面</w:t>
      </w:r>
      <w:r w:rsidR="00457E41">
        <w:rPr>
          <w:rFonts w:ascii="仿宋" w:eastAsia="仿宋" w:hAnsi="仿宋" w:hint="eastAsia"/>
          <w:sz w:val="28"/>
          <w:szCs w:val="28"/>
        </w:rPr>
        <w:t>的</w:t>
      </w:r>
      <w:r w:rsidR="00773717">
        <w:rPr>
          <w:rFonts w:ascii="仿宋" w:eastAsia="仿宋" w:hAnsi="仿宋" w:hint="eastAsia"/>
          <w:sz w:val="28"/>
          <w:szCs w:val="28"/>
        </w:rPr>
        <w:t>短板。</w:t>
      </w:r>
    </w:p>
    <w:p w:rsidR="002D7773" w:rsidRPr="00895302" w:rsidRDefault="002D7773" w:rsidP="00C7457A">
      <w:pPr>
        <w:pStyle w:val="1"/>
        <w:spacing w:beforeLines="50" w:afterLines="50"/>
        <w:ind w:firstLineChars="150" w:firstLine="480"/>
        <w:rPr>
          <w:rFonts w:ascii="黑体" w:eastAsia="黑体" w:hAnsi="黑体"/>
          <w:sz w:val="32"/>
          <w:szCs w:val="32"/>
        </w:rPr>
      </w:pPr>
      <w:r w:rsidRPr="00895302">
        <w:rPr>
          <w:rFonts w:ascii="黑体" w:eastAsia="黑体" w:hAnsi="黑体" w:hint="eastAsia"/>
          <w:sz w:val="32"/>
          <w:szCs w:val="32"/>
        </w:rPr>
        <w:t>五、行业效益情况</w:t>
      </w:r>
    </w:p>
    <w:p w:rsidR="00010617" w:rsidRPr="00010617" w:rsidRDefault="002D7773" w:rsidP="0001061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140C">
        <w:rPr>
          <w:rFonts w:ascii="仿宋" w:eastAsia="仿宋" w:hAnsi="仿宋" w:hint="eastAsia"/>
          <w:sz w:val="28"/>
          <w:szCs w:val="28"/>
        </w:rPr>
        <w:t>上半年，全国拍卖企业主营业务收入</w:t>
      </w:r>
      <w:r w:rsidR="00010617">
        <w:rPr>
          <w:rFonts w:ascii="仿宋" w:eastAsia="仿宋" w:hAnsi="仿宋" w:hint="eastAsia"/>
          <w:sz w:val="28"/>
          <w:szCs w:val="28"/>
        </w:rPr>
        <w:t>25.06</w:t>
      </w:r>
      <w:r w:rsidRPr="0001140C">
        <w:rPr>
          <w:rFonts w:ascii="仿宋" w:eastAsia="仿宋" w:hAnsi="仿宋" w:hint="eastAsia"/>
          <w:sz w:val="28"/>
          <w:szCs w:val="28"/>
        </w:rPr>
        <w:t>亿元，</w:t>
      </w:r>
      <w:r w:rsidR="00B01CEA" w:rsidRPr="0001140C">
        <w:rPr>
          <w:rFonts w:ascii="仿宋" w:eastAsia="仿宋" w:hAnsi="仿宋" w:hint="eastAsia"/>
          <w:sz w:val="28"/>
          <w:szCs w:val="28"/>
        </w:rPr>
        <w:t>同比</w:t>
      </w:r>
      <w:r w:rsidR="00010617">
        <w:rPr>
          <w:rFonts w:ascii="仿宋" w:eastAsia="仿宋" w:hAnsi="仿宋" w:hint="eastAsia"/>
          <w:sz w:val="28"/>
          <w:szCs w:val="28"/>
        </w:rPr>
        <w:t>增长50.64%，</w:t>
      </w:r>
      <w:r w:rsidR="00010617" w:rsidRPr="00010617">
        <w:rPr>
          <w:rFonts w:ascii="仿宋" w:eastAsia="仿宋" w:hAnsi="仿宋" w:hint="eastAsia"/>
          <w:sz w:val="28"/>
          <w:szCs w:val="28"/>
        </w:rPr>
        <w:t>较2019年增长24.55%；实现主营业务利润15.99亿元，同比增长71.18%，较2019年增长78.66%</w:t>
      </w:r>
      <w:r w:rsidR="00457E41">
        <w:rPr>
          <w:rFonts w:ascii="仿宋" w:eastAsia="仿宋" w:hAnsi="仿宋" w:hint="eastAsia"/>
          <w:sz w:val="28"/>
          <w:szCs w:val="28"/>
        </w:rPr>
        <w:t>。上半年，行业</w:t>
      </w:r>
      <w:r w:rsidR="00010617" w:rsidRPr="00010617">
        <w:rPr>
          <w:rFonts w:ascii="仿宋" w:eastAsia="仿宋" w:hAnsi="仿宋" w:hint="eastAsia"/>
          <w:sz w:val="28"/>
          <w:szCs w:val="28"/>
        </w:rPr>
        <w:t>平均佣金率</w:t>
      </w:r>
      <w:r w:rsidR="00457E41">
        <w:rPr>
          <w:rFonts w:ascii="仿宋" w:eastAsia="仿宋" w:hAnsi="仿宋" w:hint="eastAsia"/>
          <w:sz w:val="28"/>
          <w:szCs w:val="28"/>
        </w:rPr>
        <w:t>为</w:t>
      </w:r>
      <w:r w:rsidR="00010617" w:rsidRPr="00010617">
        <w:rPr>
          <w:rFonts w:ascii="仿宋" w:eastAsia="仿宋" w:hAnsi="仿宋" w:hint="eastAsia"/>
          <w:sz w:val="28"/>
          <w:szCs w:val="28"/>
        </w:rPr>
        <w:t>0.7%，同比高出0.09个百分点，较2019年高出0.01个百分点。</w:t>
      </w:r>
    </w:p>
    <w:p w:rsidR="002D7773" w:rsidRDefault="0081333A" w:rsidP="002D7773">
      <w:pPr>
        <w:pStyle w:val="1"/>
        <w:ind w:firstLineChars="150"/>
        <w:rPr>
          <w:rFonts w:ascii="仿宋" w:eastAsia="仿宋" w:hAnsi="仿宋"/>
          <w:sz w:val="28"/>
          <w:szCs w:val="28"/>
        </w:rPr>
      </w:pPr>
      <w:r w:rsidRPr="00B01CEA">
        <w:rPr>
          <w:rStyle w:val="a5"/>
          <w:rFonts w:ascii="仿宋" w:eastAsia="仿宋" w:hAnsi="仿宋" w:hint="eastAsia"/>
          <w:b w:val="0"/>
          <w:sz w:val="28"/>
          <w:szCs w:val="28"/>
        </w:rPr>
        <w:t>上半年，</w:t>
      </w:r>
      <w:r>
        <w:rPr>
          <w:rStyle w:val="a5"/>
          <w:rFonts w:ascii="仿宋" w:eastAsia="仿宋" w:hAnsi="仿宋" w:hint="eastAsia"/>
          <w:b w:val="0"/>
          <w:sz w:val="28"/>
          <w:szCs w:val="28"/>
        </w:rPr>
        <w:t>全</w:t>
      </w:r>
      <w:r w:rsidRPr="00B01CEA">
        <w:rPr>
          <w:rStyle w:val="a5"/>
          <w:rFonts w:ascii="仿宋" w:eastAsia="仿宋" w:hAnsi="仿宋" w:hint="eastAsia"/>
          <w:b w:val="0"/>
          <w:sz w:val="28"/>
          <w:szCs w:val="28"/>
        </w:rPr>
        <w:t>行业共</w:t>
      </w:r>
      <w:r w:rsidR="00457E41">
        <w:rPr>
          <w:rStyle w:val="a5"/>
          <w:rFonts w:ascii="仿宋" w:eastAsia="仿宋" w:hAnsi="仿宋" w:hint="eastAsia"/>
          <w:b w:val="0"/>
          <w:sz w:val="28"/>
          <w:szCs w:val="28"/>
        </w:rPr>
        <w:t>缴纳</w:t>
      </w:r>
      <w:r w:rsidRPr="00B01CEA">
        <w:rPr>
          <w:rStyle w:val="a5"/>
          <w:rFonts w:ascii="仿宋" w:eastAsia="仿宋" w:hAnsi="仿宋" w:hint="eastAsia"/>
          <w:b w:val="0"/>
          <w:sz w:val="28"/>
          <w:szCs w:val="28"/>
        </w:rPr>
        <w:t>增值税</w:t>
      </w:r>
      <w:r w:rsidR="00502554">
        <w:rPr>
          <w:rStyle w:val="a5"/>
          <w:rFonts w:ascii="仿宋" w:eastAsia="仿宋" w:hAnsi="仿宋" w:hint="eastAsia"/>
          <w:b w:val="0"/>
          <w:sz w:val="28"/>
          <w:szCs w:val="28"/>
        </w:rPr>
        <w:t>1.33亿</w:t>
      </w:r>
      <w:r w:rsidR="00457E41">
        <w:rPr>
          <w:rStyle w:val="a5"/>
          <w:rFonts w:ascii="仿宋" w:eastAsia="仿宋" w:hAnsi="仿宋" w:hint="eastAsia"/>
          <w:b w:val="0"/>
          <w:sz w:val="28"/>
          <w:szCs w:val="28"/>
        </w:rPr>
        <w:t>元、</w:t>
      </w:r>
      <w:r>
        <w:rPr>
          <w:rStyle w:val="a5"/>
          <w:rFonts w:ascii="仿宋" w:eastAsia="仿宋" w:hAnsi="仿宋" w:hint="eastAsia"/>
          <w:b w:val="0"/>
          <w:sz w:val="28"/>
          <w:szCs w:val="28"/>
        </w:rPr>
        <w:t>企业所得税</w:t>
      </w:r>
      <w:r w:rsidR="00502554">
        <w:rPr>
          <w:rStyle w:val="a5"/>
          <w:rFonts w:ascii="仿宋" w:eastAsia="仿宋" w:hAnsi="仿宋" w:hint="eastAsia"/>
          <w:b w:val="0"/>
          <w:sz w:val="28"/>
          <w:szCs w:val="28"/>
        </w:rPr>
        <w:t>1.35亿</w:t>
      </w:r>
      <w:r>
        <w:rPr>
          <w:rStyle w:val="a5"/>
          <w:rFonts w:ascii="仿宋" w:eastAsia="仿宋" w:hAnsi="仿宋" w:hint="eastAsia"/>
          <w:b w:val="0"/>
          <w:sz w:val="28"/>
          <w:szCs w:val="28"/>
        </w:rPr>
        <w:t>元</w:t>
      </w:r>
      <w:r w:rsidR="00230C22">
        <w:rPr>
          <w:rStyle w:val="a5"/>
          <w:rFonts w:ascii="仿宋" w:eastAsia="仿宋" w:hAnsi="仿宋" w:hint="eastAsia"/>
          <w:b w:val="0"/>
          <w:sz w:val="28"/>
          <w:szCs w:val="28"/>
        </w:rPr>
        <w:t>（</w:t>
      </w:r>
      <w:r w:rsidR="00230C22">
        <w:rPr>
          <w:rFonts w:ascii="仿宋" w:eastAsia="仿宋" w:hAnsi="仿宋" w:hint="eastAsia"/>
          <w:sz w:val="28"/>
          <w:szCs w:val="28"/>
        </w:rPr>
        <w:t>各拍卖标的板块的佣金收入情况见表4</w:t>
      </w:r>
      <w:r w:rsidR="00230C22">
        <w:rPr>
          <w:rStyle w:val="a5"/>
          <w:rFonts w:ascii="仿宋" w:eastAsia="仿宋" w:hAnsi="仿宋" w:hint="eastAsia"/>
          <w:b w:val="0"/>
          <w:sz w:val="28"/>
          <w:szCs w:val="28"/>
        </w:rPr>
        <w:t>）</w:t>
      </w:r>
      <w:r w:rsidR="002D7773" w:rsidRPr="0001140C">
        <w:rPr>
          <w:rFonts w:ascii="仿宋" w:eastAsia="仿宋" w:hAnsi="仿宋" w:hint="eastAsia"/>
          <w:sz w:val="28"/>
          <w:szCs w:val="28"/>
        </w:rPr>
        <w:t>。</w:t>
      </w:r>
    </w:p>
    <w:p w:rsidR="00CE45D7" w:rsidRDefault="00CE45D7" w:rsidP="00794B3E">
      <w:pPr>
        <w:pStyle w:val="1"/>
        <w:ind w:firstLineChars="150" w:firstLine="360"/>
        <w:jc w:val="center"/>
        <w:rPr>
          <w:rFonts w:ascii="黑体" w:eastAsia="黑体" w:hAnsi="黑体"/>
          <w:sz w:val="24"/>
          <w:szCs w:val="24"/>
        </w:rPr>
      </w:pPr>
    </w:p>
    <w:p w:rsidR="00794B3E" w:rsidRDefault="00794B3E" w:rsidP="00C7457A">
      <w:pPr>
        <w:pStyle w:val="1"/>
        <w:spacing w:afterLines="50"/>
        <w:ind w:firstLineChars="150" w:firstLine="360"/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4"/>
          <w:szCs w:val="24"/>
        </w:rPr>
        <w:t xml:space="preserve">表4   </w:t>
      </w:r>
      <w:r w:rsidR="00010617">
        <w:rPr>
          <w:rFonts w:ascii="黑体" w:eastAsia="黑体" w:hAnsi="黑体" w:hint="eastAsia"/>
          <w:sz w:val="24"/>
          <w:szCs w:val="24"/>
        </w:rPr>
        <w:t xml:space="preserve"> 2021</w:t>
      </w:r>
      <w:r w:rsidRPr="00CC4DDE">
        <w:rPr>
          <w:rFonts w:ascii="黑体" w:eastAsia="黑体" w:hAnsi="黑体" w:hint="eastAsia"/>
          <w:sz w:val="24"/>
          <w:szCs w:val="24"/>
        </w:rPr>
        <w:t>年上半年各标的佣金</w:t>
      </w:r>
      <w:r>
        <w:rPr>
          <w:rFonts w:ascii="黑体" w:eastAsia="黑体" w:hAnsi="黑体" w:hint="eastAsia"/>
          <w:sz w:val="24"/>
          <w:szCs w:val="24"/>
        </w:rPr>
        <w:t>收入</w:t>
      </w:r>
      <w:r w:rsidRPr="00CC4DDE">
        <w:rPr>
          <w:rFonts w:ascii="黑体" w:eastAsia="黑体" w:hAnsi="黑体" w:hint="eastAsia"/>
          <w:sz w:val="24"/>
          <w:szCs w:val="24"/>
        </w:rPr>
        <w:t>情况</w:t>
      </w:r>
    </w:p>
    <w:tbl>
      <w:tblPr>
        <w:tblW w:w="8429" w:type="dxa"/>
        <w:jc w:val="center"/>
        <w:tblInd w:w="93" w:type="dxa"/>
        <w:tblLook w:val="04A0"/>
      </w:tblPr>
      <w:tblGrid>
        <w:gridCol w:w="2480"/>
        <w:gridCol w:w="2260"/>
        <w:gridCol w:w="1789"/>
        <w:gridCol w:w="1900"/>
      </w:tblGrid>
      <w:tr w:rsidR="00230C22" w:rsidRPr="00794B3E" w:rsidTr="00457E41">
        <w:trPr>
          <w:trHeight w:val="390"/>
          <w:jc w:val="center"/>
        </w:trPr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794B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3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457E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3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拍卖佣金额（亿元）</w:t>
            </w:r>
          </w:p>
        </w:tc>
        <w:tc>
          <w:tcPr>
            <w:tcW w:w="17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8DB4E3"/>
          </w:tcPr>
          <w:p w:rsidR="00230C22" w:rsidRPr="00794B3E" w:rsidRDefault="00230C22" w:rsidP="00457E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占比（%）</w:t>
            </w:r>
          </w:p>
        </w:tc>
        <w:tc>
          <w:tcPr>
            <w:tcW w:w="190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457E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3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佣金率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（%）</w:t>
            </w:r>
          </w:p>
        </w:tc>
      </w:tr>
      <w:tr w:rsidR="00230C22" w:rsidRPr="00794B3E" w:rsidTr="00457E41">
        <w:trPr>
          <w:trHeight w:val="390"/>
          <w:jc w:val="center"/>
        </w:trPr>
        <w:tc>
          <w:tcPr>
            <w:tcW w:w="248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794B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房地产</w:t>
            </w:r>
          </w:p>
        </w:tc>
        <w:tc>
          <w:tcPr>
            <w:tcW w:w="2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8DB4E3"/>
          </w:tcPr>
          <w:p w:rsidR="00230C22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20.78%</w:t>
            </w:r>
          </w:p>
        </w:tc>
        <w:tc>
          <w:tcPr>
            <w:tcW w:w="190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0.89</w:t>
            </w: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  <w:tr w:rsidR="00230C22" w:rsidRPr="00794B3E" w:rsidTr="00457E41">
        <w:trPr>
          <w:trHeight w:val="390"/>
          <w:jc w:val="center"/>
        </w:trPr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794B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土地使用权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8DB4E3"/>
          </w:tcPr>
          <w:p w:rsidR="00230C22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13.52%</w:t>
            </w:r>
          </w:p>
        </w:tc>
        <w:tc>
          <w:tcPr>
            <w:tcW w:w="190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0.18</w:t>
            </w: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  <w:tr w:rsidR="00230C22" w:rsidRPr="00794B3E" w:rsidTr="00457E41">
        <w:trPr>
          <w:trHeight w:val="390"/>
          <w:jc w:val="center"/>
        </w:trPr>
        <w:tc>
          <w:tcPr>
            <w:tcW w:w="248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794B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机动车</w:t>
            </w:r>
          </w:p>
        </w:tc>
        <w:tc>
          <w:tcPr>
            <w:tcW w:w="2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8DB4E3"/>
          </w:tcPr>
          <w:p w:rsidR="00230C22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10.97%</w:t>
            </w:r>
          </w:p>
        </w:tc>
        <w:tc>
          <w:tcPr>
            <w:tcW w:w="190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2.19</w:t>
            </w: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  <w:tr w:rsidR="00230C22" w:rsidRPr="00794B3E" w:rsidTr="00457E41">
        <w:trPr>
          <w:trHeight w:val="390"/>
          <w:jc w:val="center"/>
        </w:trPr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794B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农副产品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0.8</w:t>
            </w: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89" w:type="dxa"/>
            <w:tcBorders>
              <w:top w:val="single" w:sz="4" w:space="0" w:color="FFFFFF"/>
              <w:left w:val="nil"/>
              <w:bottom w:val="nil"/>
              <w:right w:val="single" w:sz="4" w:space="0" w:color="FFFFFF" w:themeColor="background1"/>
            </w:tcBorders>
            <w:shd w:val="clear" w:color="000000" w:fill="8DB4E3"/>
          </w:tcPr>
          <w:p w:rsidR="00230C22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3.47%</w:t>
            </w:r>
          </w:p>
        </w:tc>
        <w:tc>
          <w:tcPr>
            <w:tcW w:w="1900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5.20</w:t>
            </w: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  <w:tr w:rsidR="00230C22" w:rsidRPr="00794B3E" w:rsidTr="00457E41">
        <w:trPr>
          <w:trHeight w:val="390"/>
          <w:jc w:val="center"/>
        </w:trPr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794B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股权、债权、产权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7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8DB4E3"/>
          </w:tcPr>
          <w:p w:rsidR="00230C22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4.11%</w:t>
            </w:r>
          </w:p>
        </w:tc>
        <w:tc>
          <w:tcPr>
            <w:tcW w:w="190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0.41</w:t>
            </w: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  <w:tr w:rsidR="00230C22" w:rsidRPr="00794B3E" w:rsidTr="00457E41">
        <w:trPr>
          <w:trHeight w:val="390"/>
          <w:jc w:val="center"/>
        </w:trPr>
        <w:tc>
          <w:tcPr>
            <w:tcW w:w="248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794B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无形资产</w:t>
            </w:r>
          </w:p>
        </w:tc>
        <w:tc>
          <w:tcPr>
            <w:tcW w:w="2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0.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000000" w:fill="8DB4E3"/>
          </w:tcPr>
          <w:p w:rsidR="00230C22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2.27%</w:t>
            </w:r>
          </w:p>
        </w:tc>
        <w:tc>
          <w:tcPr>
            <w:tcW w:w="190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0.38</w:t>
            </w: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  <w:tr w:rsidR="00230C22" w:rsidRPr="00794B3E" w:rsidTr="00457E41">
        <w:trPr>
          <w:trHeight w:val="390"/>
          <w:jc w:val="center"/>
        </w:trPr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794B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文物艺术品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.9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8DB4E3"/>
          </w:tcPr>
          <w:p w:rsidR="00230C22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19.66%</w:t>
            </w:r>
          </w:p>
        </w:tc>
        <w:tc>
          <w:tcPr>
            <w:tcW w:w="190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12.20</w:t>
            </w: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  <w:tr w:rsidR="00230C22" w:rsidRPr="00794B3E" w:rsidTr="00457E41">
        <w:trPr>
          <w:trHeight w:val="390"/>
          <w:jc w:val="center"/>
        </w:trPr>
        <w:tc>
          <w:tcPr>
            <w:tcW w:w="24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794B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8DB4E3"/>
          </w:tcPr>
          <w:p w:rsidR="00230C22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25.22%</w:t>
            </w:r>
          </w:p>
        </w:tc>
        <w:tc>
          <w:tcPr>
            <w:tcW w:w="1900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8DB4E3"/>
            <w:noWrap/>
            <w:vAlign w:val="center"/>
            <w:hideMark/>
          </w:tcPr>
          <w:p w:rsidR="00230C22" w:rsidRPr="00794B3E" w:rsidRDefault="00230C22" w:rsidP="00457E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1.29</w:t>
            </w:r>
            <w:r w:rsidRPr="00794B3E">
              <w:rPr>
                <w:rFonts w:ascii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</w:tbl>
    <w:p w:rsidR="0091099E" w:rsidRDefault="002D7773" w:rsidP="00C7457A">
      <w:pPr>
        <w:pStyle w:val="1"/>
        <w:spacing w:beforeLines="50"/>
        <w:ind w:firstLineChars="150"/>
        <w:rPr>
          <w:rFonts w:ascii="仿宋" w:eastAsia="仿宋" w:hAnsi="仿宋"/>
          <w:sz w:val="28"/>
          <w:szCs w:val="28"/>
        </w:rPr>
      </w:pPr>
      <w:r w:rsidRPr="0001140C">
        <w:rPr>
          <w:rFonts w:ascii="仿宋" w:eastAsia="仿宋" w:hAnsi="仿宋" w:hint="eastAsia"/>
          <w:sz w:val="28"/>
          <w:szCs w:val="28"/>
        </w:rPr>
        <w:t>总体来看，</w:t>
      </w:r>
      <w:r w:rsidR="00794B3E">
        <w:rPr>
          <w:rFonts w:ascii="仿宋" w:eastAsia="仿宋" w:hAnsi="仿宋" w:hint="eastAsia"/>
          <w:sz w:val="28"/>
          <w:szCs w:val="28"/>
        </w:rPr>
        <w:t>上半年拍卖</w:t>
      </w:r>
      <w:r w:rsidR="00A23DCC">
        <w:rPr>
          <w:rFonts w:ascii="仿宋" w:eastAsia="仿宋" w:hAnsi="仿宋" w:hint="eastAsia"/>
          <w:sz w:val="28"/>
          <w:szCs w:val="28"/>
        </w:rPr>
        <w:t>行业</w:t>
      </w:r>
      <w:r w:rsidR="00457E41">
        <w:rPr>
          <w:rFonts w:ascii="仿宋" w:eastAsia="仿宋" w:hAnsi="仿宋" w:hint="eastAsia"/>
          <w:sz w:val="28"/>
          <w:szCs w:val="28"/>
        </w:rPr>
        <w:t>的</w:t>
      </w:r>
      <w:r w:rsidR="00A23DCC">
        <w:rPr>
          <w:rFonts w:ascii="仿宋" w:eastAsia="仿宋" w:hAnsi="仿宋" w:hint="eastAsia"/>
          <w:sz w:val="28"/>
          <w:szCs w:val="28"/>
        </w:rPr>
        <w:t>平均佣金</w:t>
      </w:r>
      <w:r w:rsidR="00457E41">
        <w:rPr>
          <w:rFonts w:ascii="仿宋" w:eastAsia="仿宋" w:hAnsi="仿宋" w:hint="eastAsia"/>
          <w:sz w:val="28"/>
          <w:szCs w:val="28"/>
        </w:rPr>
        <w:t>水平</w:t>
      </w:r>
      <w:r w:rsidR="0091099E">
        <w:rPr>
          <w:rFonts w:ascii="仿宋" w:eastAsia="仿宋" w:hAnsi="仿宋" w:hint="eastAsia"/>
          <w:sz w:val="28"/>
          <w:szCs w:val="28"/>
        </w:rPr>
        <w:t>稳</w:t>
      </w:r>
      <w:r w:rsidR="00457E41">
        <w:rPr>
          <w:rFonts w:ascii="仿宋" w:eastAsia="仿宋" w:hAnsi="仿宋" w:hint="eastAsia"/>
          <w:sz w:val="28"/>
          <w:szCs w:val="28"/>
        </w:rPr>
        <w:t>中有</w:t>
      </w:r>
      <w:r w:rsidR="0091099E">
        <w:rPr>
          <w:rFonts w:ascii="仿宋" w:eastAsia="仿宋" w:hAnsi="仿宋" w:hint="eastAsia"/>
          <w:sz w:val="28"/>
          <w:szCs w:val="28"/>
        </w:rPr>
        <w:t>升，</w:t>
      </w:r>
      <w:r w:rsidR="00A23DCC">
        <w:rPr>
          <w:rFonts w:ascii="仿宋" w:eastAsia="仿宋" w:hAnsi="仿宋" w:hint="eastAsia"/>
          <w:sz w:val="28"/>
          <w:szCs w:val="28"/>
        </w:rPr>
        <w:t>由去年同</w:t>
      </w:r>
      <w:r w:rsidR="00A23DCC">
        <w:rPr>
          <w:rFonts w:ascii="仿宋" w:eastAsia="仿宋" w:hAnsi="仿宋" w:hint="eastAsia"/>
          <w:sz w:val="28"/>
          <w:szCs w:val="28"/>
        </w:rPr>
        <w:lastRenderedPageBreak/>
        <w:t>期的</w:t>
      </w:r>
      <w:r w:rsidR="0091099E">
        <w:rPr>
          <w:rFonts w:ascii="仿宋" w:eastAsia="仿宋" w:hAnsi="仿宋" w:hint="eastAsia"/>
          <w:sz w:val="28"/>
          <w:szCs w:val="28"/>
        </w:rPr>
        <w:t>0.61</w:t>
      </w:r>
      <w:r w:rsidR="00A23DCC">
        <w:rPr>
          <w:rFonts w:ascii="仿宋" w:eastAsia="仿宋" w:hAnsi="仿宋" w:hint="eastAsia"/>
          <w:sz w:val="28"/>
          <w:szCs w:val="28"/>
        </w:rPr>
        <w:t>%</w:t>
      </w:r>
      <w:r w:rsidR="0091099E">
        <w:rPr>
          <w:rFonts w:ascii="仿宋" w:eastAsia="仿宋" w:hAnsi="仿宋" w:hint="eastAsia"/>
          <w:sz w:val="28"/>
          <w:szCs w:val="28"/>
        </w:rPr>
        <w:t>提升至</w:t>
      </w:r>
      <w:r w:rsidR="00A23DCC">
        <w:rPr>
          <w:rFonts w:ascii="仿宋" w:eastAsia="仿宋" w:hAnsi="仿宋" w:hint="eastAsia"/>
          <w:sz w:val="28"/>
          <w:szCs w:val="28"/>
        </w:rPr>
        <w:t>今年上半年的</w:t>
      </w:r>
      <w:r w:rsidR="0091099E">
        <w:rPr>
          <w:rFonts w:ascii="仿宋" w:eastAsia="仿宋" w:hAnsi="仿宋" w:hint="eastAsia"/>
          <w:sz w:val="28"/>
          <w:szCs w:val="28"/>
        </w:rPr>
        <w:t>0.7</w:t>
      </w:r>
      <w:r w:rsidR="00A23DCC">
        <w:rPr>
          <w:rFonts w:ascii="仿宋" w:eastAsia="仿宋" w:hAnsi="仿宋" w:hint="eastAsia"/>
          <w:sz w:val="28"/>
          <w:szCs w:val="28"/>
        </w:rPr>
        <w:t>%</w:t>
      </w:r>
      <w:r w:rsidR="00794B3E">
        <w:rPr>
          <w:rFonts w:ascii="仿宋" w:eastAsia="仿宋" w:hAnsi="仿宋" w:hint="eastAsia"/>
          <w:sz w:val="28"/>
          <w:szCs w:val="28"/>
        </w:rPr>
        <w:t>，</w:t>
      </w:r>
      <w:r w:rsidR="00D071C2">
        <w:rPr>
          <w:rFonts w:ascii="仿宋" w:eastAsia="仿宋" w:hAnsi="仿宋" w:hint="eastAsia"/>
          <w:sz w:val="28"/>
          <w:szCs w:val="28"/>
        </w:rPr>
        <w:t>同时</w:t>
      </w:r>
      <w:r w:rsidR="00457E41">
        <w:rPr>
          <w:rFonts w:ascii="仿宋" w:eastAsia="仿宋" w:hAnsi="仿宋" w:hint="eastAsia"/>
          <w:sz w:val="28"/>
          <w:szCs w:val="28"/>
        </w:rPr>
        <w:t>，超过</w:t>
      </w:r>
      <w:r w:rsidR="0091099E">
        <w:rPr>
          <w:rFonts w:ascii="仿宋" w:eastAsia="仿宋" w:hAnsi="仿宋" w:hint="eastAsia"/>
          <w:sz w:val="28"/>
          <w:szCs w:val="28"/>
        </w:rPr>
        <w:t>2019年上半年疫情前的</w:t>
      </w:r>
      <w:r w:rsidR="00457E41">
        <w:rPr>
          <w:rFonts w:ascii="仿宋" w:eastAsia="仿宋" w:hAnsi="仿宋" w:hint="eastAsia"/>
          <w:sz w:val="28"/>
          <w:szCs w:val="28"/>
        </w:rPr>
        <w:t>佣金</w:t>
      </w:r>
      <w:r w:rsidR="00794B3E">
        <w:rPr>
          <w:rFonts w:ascii="仿宋" w:eastAsia="仿宋" w:hAnsi="仿宋" w:hint="eastAsia"/>
          <w:sz w:val="28"/>
          <w:szCs w:val="28"/>
        </w:rPr>
        <w:t>水平</w:t>
      </w:r>
      <w:r w:rsidR="0091099E">
        <w:rPr>
          <w:rFonts w:ascii="仿宋" w:eastAsia="仿宋" w:hAnsi="仿宋" w:hint="eastAsia"/>
          <w:sz w:val="28"/>
          <w:szCs w:val="28"/>
        </w:rPr>
        <w:t>，</w:t>
      </w:r>
      <w:r w:rsidR="00457E41">
        <w:rPr>
          <w:rFonts w:ascii="仿宋" w:eastAsia="仿宋" w:hAnsi="仿宋" w:hint="eastAsia"/>
          <w:sz w:val="28"/>
          <w:szCs w:val="28"/>
        </w:rPr>
        <w:t>这是</w:t>
      </w:r>
      <w:r w:rsidR="0091099E">
        <w:rPr>
          <w:rFonts w:ascii="仿宋" w:eastAsia="仿宋" w:hAnsi="仿宋" w:hint="eastAsia"/>
          <w:sz w:val="28"/>
          <w:szCs w:val="28"/>
        </w:rPr>
        <w:t>带动</w:t>
      </w:r>
      <w:r w:rsidR="00794B3E">
        <w:rPr>
          <w:rFonts w:ascii="仿宋" w:eastAsia="仿宋" w:hAnsi="仿宋" w:hint="eastAsia"/>
          <w:sz w:val="28"/>
          <w:szCs w:val="28"/>
        </w:rPr>
        <w:t>行业</w:t>
      </w:r>
      <w:r w:rsidR="0091099E">
        <w:rPr>
          <w:rFonts w:ascii="仿宋" w:eastAsia="仿宋" w:hAnsi="仿宋" w:hint="eastAsia"/>
          <w:sz w:val="28"/>
          <w:szCs w:val="28"/>
        </w:rPr>
        <w:t>整体</w:t>
      </w:r>
      <w:r w:rsidR="00794B3E">
        <w:rPr>
          <w:rFonts w:ascii="仿宋" w:eastAsia="仿宋" w:hAnsi="仿宋" w:hint="eastAsia"/>
          <w:sz w:val="28"/>
          <w:szCs w:val="28"/>
        </w:rPr>
        <w:t>佣金收入</w:t>
      </w:r>
      <w:r w:rsidR="0091099E">
        <w:rPr>
          <w:rFonts w:ascii="仿宋" w:eastAsia="仿宋" w:hAnsi="仿宋" w:hint="eastAsia"/>
          <w:sz w:val="28"/>
          <w:szCs w:val="28"/>
        </w:rPr>
        <w:t>增长的原因之一</w:t>
      </w:r>
      <w:r w:rsidR="00A23DCC">
        <w:rPr>
          <w:rFonts w:ascii="仿宋" w:eastAsia="仿宋" w:hAnsi="仿宋" w:hint="eastAsia"/>
          <w:sz w:val="28"/>
          <w:szCs w:val="28"/>
        </w:rPr>
        <w:t>。</w:t>
      </w:r>
      <w:r w:rsidR="0091099E">
        <w:rPr>
          <w:rFonts w:ascii="仿宋" w:eastAsia="仿宋" w:hAnsi="仿宋" w:hint="eastAsia"/>
          <w:sz w:val="28"/>
          <w:szCs w:val="28"/>
        </w:rPr>
        <w:t xml:space="preserve"> </w:t>
      </w:r>
    </w:p>
    <w:p w:rsidR="0056685B" w:rsidRDefault="0091099E" w:rsidP="00C7457A">
      <w:pPr>
        <w:pStyle w:val="1"/>
        <w:spacing w:beforeLines="50"/>
        <w:ind w:firstLineChars="1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上半年</w:t>
      </w:r>
      <w:r w:rsidR="00794B3E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房地产、</w:t>
      </w:r>
      <w:r w:rsidR="002D7773" w:rsidRPr="0001140C">
        <w:rPr>
          <w:rFonts w:ascii="仿宋" w:eastAsia="仿宋" w:hAnsi="仿宋" w:hint="eastAsia"/>
          <w:sz w:val="28"/>
          <w:szCs w:val="28"/>
        </w:rPr>
        <w:t>土地使用权</w:t>
      </w:r>
      <w:r>
        <w:rPr>
          <w:rFonts w:ascii="仿宋" w:eastAsia="仿宋" w:hAnsi="仿宋" w:hint="eastAsia"/>
          <w:sz w:val="28"/>
          <w:szCs w:val="28"/>
        </w:rPr>
        <w:t>、机动车及其他门类</w:t>
      </w:r>
      <w:r w:rsidR="002D7773" w:rsidRPr="0001140C">
        <w:rPr>
          <w:rFonts w:ascii="仿宋" w:eastAsia="仿宋" w:hAnsi="仿宋" w:hint="eastAsia"/>
          <w:sz w:val="28"/>
          <w:szCs w:val="28"/>
        </w:rPr>
        <w:t>拍卖</w:t>
      </w:r>
      <w:r w:rsidR="0056685B">
        <w:rPr>
          <w:rFonts w:ascii="仿宋" w:eastAsia="仿宋" w:hAnsi="仿宋" w:hint="eastAsia"/>
          <w:sz w:val="28"/>
          <w:szCs w:val="28"/>
        </w:rPr>
        <w:t>业务</w:t>
      </w:r>
      <w:r w:rsidR="009C6944">
        <w:rPr>
          <w:rFonts w:ascii="仿宋" w:eastAsia="仿宋" w:hAnsi="仿宋" w:hint="eastAsia"/>
          <w:sz w:val="28"/>
          <w:szCs w:val="28"/>
        </w:rPr>
        <w:t>合计佣金收入17.67亿元，占比行业佣金总收入的70.51%，</w:t>
      </w:r>
      <w:r>
        <w:rPr>
          <w:rFonts w:ascii="仿宋" w:eastAsia="仿宋" w:hAnsi="仿宋" w:hint="eastAsia"/>
          <w:sz w:val="28"/>
          <w:szCs w:val="28"/>
        </w:rPr>
        <w:t>是</w:t>
      </w:r>
      <w:r w:rsidR="00794B3E">
        <w:rPr>
          <w:rFonts w:ascii="仿宋" w:eastAsia="仿宋" w:hAnsi="仿宋" w:hint="eastAsia"/>
          <w:sz w:val="28"/>
          <w:szCs w:val="28"/>
        </w:rPr>
        <w:t>行业收入的</w:t>
      </w:r>
      <w:r w:rsidR="00794B3E" w:rsidRPr="0001140C">
        <w:rPr>
          <w:rFonts w:ascii="仿宋" w:eastAsia="仿宋" w:hAnsi="仿宋" w:hint="eastAsia"/>
          <w:sz w:val="28"/>
          <w:szCs w:val="28"/>
        </w:rPr>
        <w:t>主要来源</w:t>
      </w:r>
      <w:r w:rsidR="009C6944">
        <w:rPr>
          <w:rFonts w:ascii="仿宋" w:eastAsia="仿宋" w:hAnsi="仿宋" w:hint="eastAsia"/>
          <w:sz w:val="28"/>
          <w:szCs w:val="28"/>
        </w:rPr>
        <w:t>。</w:t>
      </w:r>
      <w:r w:rsidR="009C6944">
        <w:rPr>
          <w:rFonts w:ascii="仿宋" w:eastAsia="仿宋" w:hAnsi="仿宋"/>
          <w:sz w:val="28"/>
          <w:szCs w:val="28"/>
        </w:rPr>
        <w:t xml:space="preserve"> </w:t>
      </w:r>
      <w:r w:rsidR="00C26902">
        <w:rPr>
          <w:rFonts w:ascii="仿宋" w:eastAsia="仿宋" w:hAnsi="仿宋"/>
          <w:sz w:val="28"/>
          <w:szCs w:val="28"/>
        </w:rPr>
        <w:t>其中</w:t>
      </w:r>
      <w:r w:rsidR="00C26902">
        <w:rPr>
          <w:rFonts w:ascii="仿宋" w:eastAsia="仿宋" w:hAnsi="仿宋" w:hint="eastAsia"/>
          <w:sz w:val="28"/>
          <w:szCs w:val="28"/>
        </w:rPr>
        <w:t>，</w:t>
      </w:r>
      <w:r w:rsidR="009C6944">
        <w:rPr>
          <w:rFonts w:ascii="仿宋" w:eastAsia="仿宋" w:hAnsi="仿宋" w:hint="eastAsia"/>
          <w:sz w:val="28"/>
          <w:szCs w:val="28"/>
        </w:rPr>
        <w:t>房地产及其他门类</w:t>
      </w:r>
      <w:r w:rsidR="009C6944" w:rsidRPr="0001140C">
        <w:rPr>
          <w:rFonts w:ascii="仿宋" w:eastAsia="仿宋" w:hAnsi="仿宋" w:hint="eastAsia"/>
          <w:sz w:val="28"/>
          <w:szCs w:val="28"/>
        </w:rPr>
        <w:t>拍卖</w:t>
      </w:r>
      <w:r w:rsidR="009C6944">
        <w:rPr>
          <w:rFonts w:ascii="仿宋" w:eastAsia="仿宋" w:hAnsi="仿宋" w:hint="eastAsia"/>
          <w:sz w:val="28"/>
          <w:szCs w:val="28"/>
        </w:rPr>
        <w:t>业务</w:t>
      </w:r>
      <w:r w:rsidR="00C26902">
        <w:rPr>
          <w:rFonts w:ascii="仿宋" w:eastAsia="仿宋" w:hAnsi="仿宋" w:hint="eastAsia"/>
          <w:sz w:val="28"/>
          <w:szCs w:val="28"/>
        </w:rPr>
        <w:t>的佣金收入占比均超过20%，传统拍卖业务</w:t>
      </w:r>
      <w:r w:rsidR="00457E41">
        <w:rPr>
          <w:rFonts w:ascii="仿宋" w:eastAsia="仿宋" w:hAnsi="仿宋" w:hint="eastAsia"/>
          <w:sz w:val="28"/>
          <w:szCs w:val="28"/>
        </w:rPr>
        <w:t>对行业</w:t>
      </w:r>
      <w:r w:rsidR="00C26902">
        <w:rPr>
          <w:rFonts w:ascii="仿宋" w:eastAsia="仿宋" w:hAnsi="仿宋" w:hint="eastAsia"/>
          <w:sz w:val="28"/>
          <w:szCs w:val="28"/>
        </w:rPr>
        <w:t>稳定发展</w:t>
      </w:r>
      <w:r w:rsidR="00457E41">
        <w:rPr>
          <w:rFonts w:ascii="仿宋" w:eastAsia="仿宋" w:hAnsi="仿宋" w:hint="eastAsia"/>
          <w:sz w:val="28"/>
          <w:szCs w:val="28"/>
        </w:rPr>
        <w:t>起到有效支撑</w:t>
      </w:r>
      <w:r w:rsidR="00750171">
        <w:rPr>
          <w:rFonts w:ascii="仿宋" w:eastAsia="仿宋" w:hAnsi="仿宋" w:hint="eastAsia"/>
          <w:sz w:val="28"/>
          <w:szCs w:val="28"/>
        </w:rPr>
        <w:t>。</w:t>
      </w:r>
    </w:p>
    <w:p w:rsidR="00A41C40" w:rsidRDefault="00457E41" w:rsidP="00E14929">
      <w:pPr>
        <w:pStyle w:val="1"/>
        <w:ind w:firstLineChars="1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此外</w:t>
      </w:r>
      <w:r w:rsidR="00750171">
        <w:rPr>
          <w:rFonts w:ascii="仿宋" w:eastAsia="仿宋" w:hAnsi="仿宋" w:hint="eastAsia"/>
          <w:sz w:val="28"/>
          <w:szCs w:val="28"/>
        </w:rPr>
        <w:t>，</w:t>
      </w:r>
      <w:r w:rsidR="00750171" w:rsidRPr="0001140C">
        <w:rPr>
          <w:rFonts w:ascii="仿宋" w:eastAsia="仿宋" w:hAnsi="仿宋" w:hint="eastAsia"/>
          <w:sz w:val="28"/>
          <w:szCs w:val="28"/>
        </w:rPr>
        <w:t>农副产品</w:t>
      </w:r>
      <w:r w:rsidR="00750171">
        <w:rPr>
          <w:rFonts w:ascii="仿宋" w:eastAsia="仿宋" w:hAnsi="仿宋" w:hint="eastAsia"/>
          <w:sz w:val="28"/>
          <w:szCs w:val="28"/>
        </w:rPr>
        <w:t>和</w:t>
      </w:r>
      <w:r w:rsidR="00E14929" w:rsidRPr="0001140C">
        <w:rPr>
          <w:rFonts w:ascii="仿宋" w:eastAsia="仿宋" w:hAnsi="仿宋" w:hint="eastAsia"/>
          <w:sz w:val="28"/>
          <w:szCs w:val="28"/>
        </w:rPr>
        <w:t>机动车拍卖</w:t>
      </w:r>
      <w:r w:rsidR="00E14929">
        <w:rPr>
          <w:rFonts w:ascii="仿宋" w:eastAsia="仿宋" w:hAnsi="仿宋" w:hint="eastAsia"/>
          <w:sz w:val="28"/>
          <w:szCs w:val="28"/>
        </w:rPr>
        <w:t>业务板块</w:t>
      </w:r>
      <w:r w:rsidR="00750171">
        <w:rPr>
          <w:rFonts w:ascii="仿宋" w:eastAsia="仿宋" w:hAnsi="仿宋" w:hint="eastAsia"/>
          <w:sz w:val="28"/>
          <w:szCs w:val="28"/>
        </w:rPr>
        <w:t>的佣金率</w:t>
      </w:r>
      <w:r>
        <w:rPr>
          <w:rFonts w:ascii="仿宋" w:eastAsia="仿宋" w:hAnsi="仿宋" w:hint="eastAsia"/>
          <w:sz w:val="28"/>
          <w:szCs w:val="28"/>
        </w:rPr>
        <w:t>，上半年</w:t>
      </w:r>
      <w:r w:rsidR="00750171">
        <w:rPr>
          <w:rFonts w:ascii="仿宋" w:eastAsia="仿宋" w:hAnsi="仿宋" w:hint="eastAsia"/>
          <w:sz w:val="28"/>
          <w:szCs w:val="28"/>
        </w:rPr>
        <w:t>分别达到5.2%和2.19%</w:t>
      </w:r>
      <w:r w:rsidR="00E14929">
        <w:rPr>
          <w:rFonts w:ascii="仿宋" w:eastAsia="仿宋" w:hAnsi="仿宋" w:hint="eastAsia"/>
          <w:sz w:val="28"/>
          <w:szCs w:val="28"/>
        </w:rPr>
        <w:t>，</w:t>
      </w:r>
      <w:r w:rsidR="00750171">
        <w:rPr>
          <w:rFonts w:ascii="仿宋" w:eastAsia="仿宋" w:hAnsi="仿宋" w:hint="eastAsia"/>
          <w:sz w:val="28"/>
          <w:szCs w:val="28"/>
        </w:rPr>
        <w:t>成为行业效益</w:t>
      </w:r>
      <w:r>
        <w:rPr>
          <w:rFonts w:ascii="仿宋" w:eastAsia="仿宋" w:hAnsi="仿宋" w:hint="eastAsia"/>
          <w:sz w:val="28"/>
          <w:szCs w:val="28"/>
        </w:rPr>
        <w:t>增长</w:t>
      </w:r>
      <w:r w:rsidR="00750171">
        <w:rPr>
          <w:rFonts w:ascii="仿宋" w:eastAsia="仿宋" w:hAnsi="仿宋" w:hint="eastAsia"/>
          <w:sz w:val="28"/>
          <w:szCs w:val="28"/>
        </w:rPr>
        <w:t>亮点</w:t>
      </w:r>
      <w:r w:rsidR="00A41C40">
        <w:rPr>
          <w:rFonts w:ascii="仿宋" w:eastAsia="仿宋" w:hAnsi="仿宋" w:hint="eastAsia"/>
          <w:sz w:val="28"/>
          <w:szCs w:val="28"/>
        </w:rPr>
        <w:t>。</w:t>
      </w:r>
    </w:p>
    <w:p w:rsidR="002D7773" w:rsidRDefault="00A41C40" w:rsidP="00E14929">
      <w:pPr>
        <w:pStyle w:val="1"/>
        <w:ind w:firstLineChars="1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可以预见，随着拍卖市场</w:t>
      </w:r>
      <w:r w:rsidR="00E14929">
        <w:rPr>
          <w:rFonts w:ascii="仿宋" w:eastAsia="仿宋" w:hAnsi="仿宋" w:hint="eastAsia"/>
          <w:sz w:val="28"/>
          <w:szCs w:val="28"/>
        </w:rPr>
        <w:t>开放程度的提高，</w:t>
      </w:r>
      <w:r w:rsidR="00E14929" w:rsidRPr="00E14929">
        <w:rPr>
          <w:rFonts w:ascii="仿宋" w:eastAsia="仿宋" w:hAnsi="仿宋" w:hint="eastAsia"/>
          <w:sz w:val="28"/>
          <w:szCs w:val="28"/>
        </w:rPr>
        <w:t>来自网络、科技、文化、电子商务、工程建设等</w:t>
      </w:r>
      <w:r>
        <w:rPr>
          <w:rFonts w:ascii="仿宋" w:eastAsia="仿宋" w:hAnsi="仿宋" w:hint="eastAsia"/>
          <w:sz w:val="28"/>
          <w:szCs w:val="28"/>
        </w:rPr>
        <w:t>专业</w:t>
      </w:r>
      <w:r w:rsidR="00E14929" w:rsidRPr="00E14929">
        <w:rPr>
          <w:rFonts w:ascii="仿宋" w:eastAsia="仿宋" w:hAnsi="仿宋" w:hint="eastAsia"/>
          <w:sz w:val="28"/>
          <w:szCs w:val="28"/>
        </w:rPr>
        <w:t>领域</w:t>
      </w:r>
      <w:r w:rsidR="00E14929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实体</w:t>
      </w:r>
      <w:r w:rsidR="00457E41">
        <w:rPr>
          <w:rFonts w:ascii="仿宋" w:eastAsia="仿宋" w:hAnsi="仿宋" w:hint="eastAsia"/>
          <w:sz w:val="28"/>
          <w:szCs w:val="28"/>
        </w:rPr>
        <w:t>还</w:t>
      </w:r>
      <w:r w:rsidR="00E14929">
        <w:rPr>
          <w:rFonts w:ascii="仿宋" w:eastAsia="仿宋" w:hAnsi="仿宋" w:hint="eastAsia"/>
          <w:sz w:val="28"/>
          <w:szCs w:val="28"/>
        </w:rPr>
        <w:t>将</w:t>
      </w:r>
      <w:r>
        <w:rPr>
          <w:rFonts w:ascii="仿宋" w:eastAsia="仿宋" w:hAnsi="仿宋" w:hint="eastAsia"/>
          <w:sz w:val="28"/>
          <w:szCs w:val="28"/>
        </w:rPr>
        <w:t>继续进入拍卖业</w:t>
      </w:r>
      <w:r w:rsidR="00457E41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开展跨业经营，</w:t>
      </w:r>
      <w:r w:rsidR="00457E41">
        <w:rPr>
          <w:rFonts w:ascii="仿宋" w:eastAsia="仿宋" w:hAnsi="仿宋" w:hint="eastAsia"/>
          <w:sz w:val="28"/>
          <w:szCs w:val="28"/>
        </w:rPr>
        <w:t>随之</w:t>
      </w:r>
      <w:r w:rsidR="0006706C">
        <w:rPr>
          <w:rFonts w:ascii="仿宋" w:eastAsia="仿宋" w:hAnsi="仿宋" w:hint="eastAsia"/>
          <w:sz w:val="28"/>
          <w:szCs w:val="28"/>
        </w:rPr>
        <w:t>带来</w:t>
      </w:r>
      <w:r w:rsidR="00457E41">
        <w:rPr>
          <w:rFonts w:ascii="仿宋" w:eastAsia="仿宋" w:hAnsi="仿宋" w:hint="eastAsia"/>
          <w:sz w:val="28"/>
          <w:szCs w:val="28"/>
        </w:rPr>
        <w:t>的还有新的业务资源、服务理念和</w:t>
      </w:r>
      <w:r w:rsidR="0006706C">
        <w:rPr>
          <w:rFonts w:ascii="仿宋" w:eastAsia="仿宋" w:hAnsi="仿宋" w:hint="eastAsia"/>
          <w:sz w:val="28"/>
          <w:szCs w:val="28"/>
        </w:rPr>
        <w:t>经营模式，</w:t>
      </w:r>
      <w:r w:rsidR="00A14DDA">
        <w:rPr>
          <w:rFonts w:ascii="仿宋" w:eastAsia="仿宋" w:hAnsi="仿宋" w:hint="eastAsia"/>
          <w:sz w:val="28"/>
          <w:szCs w:val="28"/>
        </w:rPr>
        <w:t>我们在关注新活力、新模式、新增长的同时，也需谨慎关注企业合规与诚信经营，加强政府与行业协会协同监管</w:t>
      </w:r>
      <w:r w:rsidR="002D7773" w:rsidRPr="0001140C">
        <w:rPr>
          <w:rFonts w:ascii="仿宋" w:eastAsia="仿宋" w:hAnsi="仿宋" w:hint="eastAsia"/>
          <w:sz w:val="28"/>
          <w:szCs w:val="28"/>
        </w:rPr>
        <w:t>。</w:t>
      </w:r>
    </w:p>
    <w:sectPr w:rsidR="002D7773" w:rsidSect="003A300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802" w:rsidRDefault="00CB1802" w:rsidP="002D7773">
      <w:r>
        <w:separator/>
      </w:r>
    </w:p>
  </w:endnote>
  <w:endnote w:type="continuationSeparator" w:id="0">
    <w:p w:rsidR="00CB1802" w:rsidRDefault="00CB1802" w:rsidP="002D7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9E" w:rsidRDefault="009109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802" w:rsidRDefault="00CB1802" w:rsidP="002D7773">
      <w:r>
        <w:separator/>
      </w:r>
    </w:p>
  </w:footnote>
  <w:footnote w:type="continuationSeparator" w:id="0">
    <w:p w:rsidR="00CB1802" w:rsidRDefault="00CB1802" w:rsidP="002D7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4F" w:rsidRDefault="0048184F" w:rsidP="0048184F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B20F1"/>
    <w:multiLevelType w:val="hybridMultilevel"/>
    <w:tmpl w:val="78609BC6"/>
    <w:lvl w:ilvl="0" w:tplc="195C625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773"/>
    <w:rsid w:val="000103DF"/>
    <w:rsid w:val="00010617"/>
    <w:rsid w:val="0002413C"/>
    <w:rsid w:val="00051FDF"/>
    <w:rsid w:val="00054DBD"/>
    <w:rsid w:val="0006706C"/>
    <w:rsid w:val="000B47FC"/>
    <w:rsid w:val="000C1B90"/>
    <w:rsid w:val="000C27FD"/>
    <w:rsid w:val="00123CA8"/>
    <w:rsid w:val="00142464"/>
    <w:rsid w:val="00145554"/>
    <w:rsid w:val="00150291"/>
    <w:rsid w:val="00157DAD"/>
    <w:rsid w:val="00173E59"/>
    <w:rsid w:val="001A26FF"/>
    <w:rsid w:val="001C1750"/>
    <w:rsid w:val="001D503C"/>
    <w:rsid w:val="0022010E"/>
    <w:rsid w:val="00224365"/>
    <w:rsid w:val="00230C22"/>
    <w:rsid w:val="00234850"/>
    <w:rsid w:val="0028390A"/>
    <w:rsid w:val="00296EA9"/>
    <w:rsid w:val="002972AC"/>
    <w:rsid w:val="002D0DDD"/>
    <w:rsid w:val="002D7773"/>
    <w:rsid w:val="00312BA8"/>
    <w:rsid w:val="00326441"/>
    <w:rsid w:val="00337E34"/>
    <w:rsid w:val="00363D38"/>
    <w:rsid w:val="003940CD"/>
    <w:rsid w:val="003A3007"/>
    <w:rsid w:val="003D04E6"/>
    <w:rsid w:val="003F4DAB"/>
    <w:rsid w:val="003F56DB"/>
    <w:rsid w:val="003F5D84"/>
    <w:rsid w:val="00427820"/>
    <w:rsid w:val="00451DEF"/>
    <w:rsid w:val="00457E41"/>
    <w:rsid w:val="004657B8"/>
    <w:rsid w:val="0048184F"/>
    <w:rsid w:val="004A1769"/>
    <w:rsid w:val="004D1171"/>
    <w:rsid w:val="004E1744"/>
    <w:rsid w:val="00502554"/>
    <w:rsid w:val="00502DD9"/>
    <w:rsid w:val="00502E7A"/>
    <w:rsid w:val="00520962"/>
    <w:rsid w:val="00530CFF"/>
    <w:rsid w:val="005533BE"/>
    <w:rsid w:val="0056340B"/>
    <w:rsid w:val="0056685B"/>
    <w:rsid w:val="00580925"/>
    <w:rsid w:val="005A10D4"/>
    <w:rsid w:val="005B066E"/>
    <w:rsid w:val="005D1574"/>
    <w:rsid w:val="00606326"/>
    <w:rsid w:val="00626853"/>
    <w:rsid w:val="00670FC0"/>
    <w:rsid w:val="00682292"/>
    <w:rsid w:val="006C1ACC"/>
    <w:rsid w:val="00713C8B"/>
    <w:rsid w:val="00750171"/>
    <w:rsid w:val="00773717"/>
    <w:rsid w:val="00775280"/>
    <w:rsid w:val="00786C5D"/>
    <w:rsid w:val="0079375B"/>
    <w:rsid w:val="00794B3E"/>
    <w:rsid w:val="0081333A"/>
    <w:rsid w:val="00865011"/>
    <w:rsid w:val="00867E50"/>
    <w:rsid w:val="008960FB"/>
    <w:rsid w:val="008972FC"/>
    <w:rsid w:val="008A78B9"/>
    <w:rsid w:val="008B0D8F"/>
    <w:rsid w:val="008B2C34"/>
    <w:rsid w:val="008C0272"/>
    <w:rsid w:val="008D3B9C"/>
    <w:rsid w:val="008D693C"/>
    <w:rsid w:val="008E6BD5"/>
    <w:rsid w:val="008F138E"/>
    <w:rsid w:val="0091099E"/>
    <w:rsid w:val="00916497"/>
    <w:rsid w:val="00927245"/>
    <w:rsid w:val="00936E14"/>
    <w:rsid w:val="00971663"/>
    <w:rsid w:val="009C0456"/>
    <w:rsid w:val="009C6944"/>
    <w:rsid w:val="009D0D3E"/>
    <w:rsid w:val="009D706A"/>
    <w:rsid w:val="009E0A30"/>
    <w:rsid w:val="00A05A93"/>
    <w:rsid w:val="00A06147"/>
    <w:rsid w:val="00A14DDA"/>
    <w:rsid w:val="00A23DCC"/>
    <w:rsid w:val="00A408D6"/>
    <w:rsid w:val="00A41C40"/>
    <w:rsid w:val="00A95162"/>
    <w:rsid w:val="00AC20D4"/>
    <w:rsid w:val="00AD6E4F"/>
    <w:rsid w:val="00B01CEA"/>
    <w:rsid w:val="00B044DD"/>
    <w:rsid w:val="00B07F5D"/>
    <w:rsid w:val="00B20DA4"/>
    <w:rsid w:val="00B53E39"/>
    <w:rsid w:val="00BA572A"/>
    <w:rsid w:val="00BB4044"/>
    <w:rsid w:val="00BC6B0C"/>
    <w:rsid w:val="00BC7DC4"/>
    <w:rsid w:val="00BD269B"/>
    <w:rsid w:val="00C060F0"/>
    <w:rsid w:val="00C11D9A"/>
    <w:rsid w:val="00C26902"/>
    <w:rsid w:val="00C72AC9"/>
    <w:rsid w:val="00C7457A"/>
    <w:rsid w:val="00C75105"/>
    <w:rsid w:val="00C92784"/>
    <w:rsid w:val="00C94E7D"/>
    <w:rsid w:val="00CB1802"/>
    <w:rsid w:val="00CC4DDE"/>
    <w:rsid w:val="00CE3AE1"/>
    <w:rsid w:val="00CE45D7"/>
    <w:rsid w:val="00D071C2"/>
    <w:rsid w:val="00D17CAC"/>
    <w:rsid w:val="00D44928"/>
    <w:rsid w:val="00D503CF"/>
    <w:rsid w:val="00D65DDE"/>
    <w:rsid w:val="00D95D2F"/>
    <w:rsid w:val="00DB00F8"/>
    <w:rsid w:val="00DB12C2"/>
    <w:rsid w:val="00DD391F"/>
    <w:rsid w:val="00E13364"/>
    <w:rsid w:val="00E14929"/>
    <w:rsid w:val="00E23E1D"/>
    <w:rsid w:val="00E27F3B"/>
    <w:rsid w:val="00E32246"/>
    <w:rsid w:val="00E408AE"/>
    <w:rsid w:val="00E76509"/>
    <w:rsid w:val="00E96F1B"/>
    <w:rsid w:val="00EB60CB"/>
    <w:rsid w:val="00EF01B0"/>
    <w:rsid w:val="00F11827"/>
    <w:rsid w:val="00F22534"/>
    <w:rsid w:val="00F24DB7"/>
    <w:rsid w:val="00F27882"/>
    <w:rsid w:val="00F311E7"/>
    <w:rsid w:val="00F538CC"/>
    <w:rsid w:val="00F72428"/>
    <w:rsid w:val="00F80A34"/>
    <w:rsid w:val="00FB597B"/>
    <w:rsid w:val="00FC2E56"/>
    <w:rsid w:val="00FF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7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7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7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7773"/>
    <w:rPr>
      <w:sz w:val="18"/>
      <w:szCs w:val="18"/>
    </w:rPr>
  </w:style>
  <w:style w:type="character" w:styleId="a5">
    <w:name w:val="Strong"/>
    <w:qFormat/>
    <w:rsid w:val="002D7773"/>
    <w:rPr>
      <w:b/>
      <w:bCs/>
    </w:rPr>
  </w:style>
  <w:style w:type="paragraph" w:customStyle="1" w:styleId="1">
    <w:name w:val="列出段落1"/>
    <w:basedOn w:val="a"/>
    <w:uiPriority w:val="34"/>
    <w:qFormat/>
    <w:rsid w:val="002D7773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2D77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D777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7773"/>
    <w:rPr>
      <w:rFonts w:ascii="Calibri" w:eastAsia="宋体" w:hAnsi="Calibri" w:cs="黑体"/>
      <w:sz w:val="18"/>
      <w:szCs w:val="18"/>
    </w:rPr>
  </w:style>
  <w:style w:type="table" w:styleId="a8">
    <w:name w:val="Table Grid"/>
    <w:basedOn w:val="a1"/>
    <w:uiPriority w:val="59"/>
    <w:rsid w:val="00CC4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CC4D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1">
    <w:name w:val="Medium Grid 3 Accent 1"/>
    <w:basedOn w:val="a1"/>
    <w:uiPriority w:val="69"/>
    <w:rsid w:val="00CC4D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dLbls>
            <c:showVal val="1"/>
          </c:dLbls>
          <c:cat>
            <c:strRef>
              <c:f>Sheet1!$A$2:$A$8</c:f>
              <c:strCache>
                <c:ptCount val="7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  <c:pt idx="5">
                  <c:v>2020年</c:v>
                </c:pt>
                <c:pt idx="6">
                  <c:v>2021年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1799.42</c:v>
                </c:pt>
                <c:pt idx="1">
                  <c:v>1852.03</c:v>
                </c:pt>
                <c:pt idx="2">
                  <c:v>3103.19</c:v>
                </c:pt>
                <c:pt idx="3">
                  <c:v>2880.1</c:v>
                </c:pt>
                <c:pt idx="4">
                  <c:v>2876.15</c:v>
                </c:pt>
                <c:pt idx="5">
                  <c:v>2896.94</c:v>
                </c:pt>
                <c:pt idx="6">
                  <c:v>3577.23</c:v>
                </c:pt>
              </c:numCache>
            </c:numRef>
          </c:val>
        </c:ser>
        <c:shape val="box"/>
        <c:axId val="142209408"/>
        <c:axId val="142211328"/>
        <c:axId val="0"/>
      </c:bar3DChart>
      <c:catAx>
        <c:axId val="142209408"/>
        <c:scaling>
          <c:orientation val="minMax"/>
        </c:scaling>
        <c:axPos val="b"/>
        <c:tickLblPos val="nextTo"/>
        <c:crossAx val="142211328"/>
        <c:crosses val="autoZero"/>
        <c:auto val="1"/>
        <c:lblAlgn val="ctr"/>
        <c:lblOffset val="100"/>
      </c:catAx>
      <c:valAx>
        <c:axId val="142211328"/>
        <c:scaling>
          <c:orientation val="minMax"/>
        </c:scaling>
        <c:axPos val="l"/>
        <c:majorGridlines/>
        <c:numFmt formatCode="General" sourceLinked="1"/>
        <c:tickLblPos val="nextTo"/>
        <c:crossAx val="1422094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6EA0F-24E5-49A0-A4B0-A94B801A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赵晶</cp:lastModifiedBy>
  <cp:revision>58</cp:revision>
  <dcterms:created xsi:type="dcterms:W3CDTF">2019-07-31T08:46:00Z</dcterms:created>
  <dcterms:modified xsi:type="dcterms:W3CDTF">2021-07-23T02:52:00Z</dcterms:modified>
</cp:coreProperties>
</file>